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ascii="仿宋" w:hAnsi="仿宋" w:eastAsia="仿宋" w:cs="仿宋"/>
          <w:b/>
          <w:bCs/>
          <w:sz w:val="44"/>
          <w:szCs w:val="44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年度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部门内部随机抽查计划</w:t>
      </w:r>
    </w:p>
    <w:p>
      <w:pPr>
        <w:spacing w:line="560" w:lineRule="exact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制定部门：海南省港航管理局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填报时间：2020年3月20日 </w:t>
      </w:r>
    </w:p>
    <w:tbl>
      <w:tblPr>
        <w:tblW w:w="14597" w:type="dxa"/>
        <w:tblInd w:w="-125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left w:w="0" w:type="dxa"/>
          <w:right w:w="0" w:type="dxa"/>
        </w:tblCellMar>
      </w:tblPr>
      <w:tblGrid>
        <w:gridCol w:w="827"/>
        <w:gridCol w:w="1845"/>
        <w:gridCol w:w="2025"/>
        <w:gridCol w:w="3840"/>
        <w:gridCol w:w="1200"/>
        <w:gridCol w:w="3630"/>
        <w:gridCol w:w="123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</w:tblPrEx>
        <w:trPr>
          <w:trHeight w:val="940" w:hRule="atLeast"/>
        </w:trPr>
        <w:tc>
          <w:tcPr>
            <w:tcW w:w="827" w:type="dxa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抽查计划名称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抽查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任务</w:t>
            </w:r>
          </w:p>
        </w:tc>
        <w:tc>
          <w:tcPr>
            <w:tcW w:w="38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抽查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事项</w:t>
            </w:r>
          </w:p>
        </w:tc>
        <w:tc>
          <w:tcPr>
            <w:tcW w:w="120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抽查对象范围</w:t>
            </w:r>
          </w:p>
        </w:tc>
        <w:tc>
          <w:tcPr>
            <w:tcW w:w="36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抽查频次频率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/>
              </w:rPr>
              <w:t>实施检查时间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336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水路运输经营者经营资质条件、安全生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产条件及市场主体行为检查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水路运输经营者经营资质条件、安全生产条件及市场主体行为检查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1.经营者是否保持相应的经营资质条件；2. 经营者是否按照法定条件依法开展经营活动；3. 经营者是否具备《安全生产法》和有关法律、行政法规和国家标准或者行业标准规定的安全生产条件。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水路运输经营者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81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船舶管理业务经营者经营资质条件、安全生产条件及市场主体行为检查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船舶管理业务经营者经营资质条件、安全生产条件及市场主体行为检查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 经营者是否保持相应的经营资质条件；2. 经营者是否按照法定条件依法开展经营活动；3. 经营者是否具备《安全生产法》和有关法律、行政法规和国家标准或者行业标准规定的安全生产条件。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船舶管理业务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采取定期抽查和不定期抽查的方式相结合。其中定期抽查为每年一次，抽查比例为名录库中市场主体的100%。不定期抽查至少每年一次，抽查比例原则上为名录库中市场主体的5%。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491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国际船舶运输经营者经营资质条件检查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国际船舶运输经营者经营资质条件检查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numPr>
                <w:numId w:val="0"/>
              </w:num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国际船舶运输经营者是否保持相应的经营资质条件；2. 国际船舶运输经营者是否按照法定条件依法开展经营活动。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国际船舶运输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采取定期抽查和不定期检查的方式。其中定期核查为每年一次，核查比例为名录库中市场主体的100%。不定期抽查至少一次，抽查比例原则上为名录库中市场主体的10%。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港口经营监管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港口经营监管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对港口经营行为及收费情况等进行检查；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港口经营监管《市场主体名录库》中的企业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943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港口安全生产监督检查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港口安全生产监督检查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、港口经营人是否按照是否按照有关法律法规和有关规定，加强安全生产管理；2、是否建立健全安全生产责任制等规章制度；3、是否落实安全生产主体责任；4、是否完善安全生产条件，采取有效措施，确保安全生产等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港口安全生产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776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港口危险货物建设项目安全审查许可的后续监管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港口危险货物建设项目安全审查许可的后续监管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已通过安全审查的港口建设项目的建设单位进行检查：1、港口建设项目是否严格按照安全审查许可内容建设；2、建设单位通过审查时提交的文件、材料的真实性；3、是否有需要重新申请审查情形的，建设单位是否重新申请安全审查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港口危险货物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90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建设项目使用港口非深水岸线的后续监管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建设项目使用港口非深水岸线的后续监管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对取得港口岸线使用许可的执行情况等进行检查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港口非深水岸线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2086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港口设施保安检查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港口设施保安检查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对港口设施保安计划的履行情况进行检查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港口设施保安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现场查看、查阅资料、询问核查等（抽查比例：原则上不少于名录库中市场主体的10%；抽查频次：1年不少于1次）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left w:w="0" w:type="dxa"/>
            <w:right w:w="0" w:type="dxa"/>
          </w:tblCellMar>
        </w:tblPrEx>
        <w:trPr>
          <w:trHeight w:val="1521" w:hRule="atLeast"/>
        </w:trPr>
        <w:tc>
          <w:tcPr>
            <w:tcW w:w="82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航道通航条件影响评价审核的后续监管</w:t>
            </w:r>
          </w:p>
        </w:tc>
        <w:tc>
          <w:tcPr>
            <w:tcW w:w="202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航道通航条件影响评价审核的后续监管</w:t>
            </w:r>
          </w:p>
        </w:tc>
        <w:tc>
          <w:tcPr>
            <w:tcW w:w="3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一）建设单位未依法报送航道通航条件影响评价材料而开工建设的；（二）报送以上材料未通过审核，建设单位开工建设的；（三）通过航道通航条件影响评价审核的单位或企业是否按照批准的范围、坐标、平面布置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结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构型式、功能等建设使用。重点检查：1.违反通过审核内容和要求建设有关航道设施的；2.未经批准建设有关航道设施的。</w:t>
            </w: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航道通航条件影响评价《市场主体名录库》中的企业</w:t>
            </w:r>
          </w:p>
        </w:tc>
        <w:tc>
          <w:tcPr>
            <w:tcW w:w="36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定期监督检查和不定期监督检查相结合的方式。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定期监督检查：一般为一年1次。抽查比例为名录库中市场主体的10%。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不定期监督检查：结合工程实施进展情况或根据有关举报投诉开展不定期监督检查.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全年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nhideWhenUsed="0" w:uiPriority="99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annotation subject"/>
    <w:basedOn w:val="3"/>
    <w:next w:val="3"/>
    <w:link w:val="8"/>
    <w:semiHidden/>
    <w:uiPriority w:val="99"/>
    <w:rPr>
      <w:b/>
      <w:bCs/>
    </w:rPr>
  </w:style>
  <w:style w:type="paragraph" w:styleId="3">
    <w:name w:val="annotation text"/>
    <w:basedOn w:val="1"/>
    <w:link w:val="7"/>
    <w:semiHidden/>
    <w:uiPriority w:val="99"/>
    <w:pPr>
      <w:jc w:val="left"/>
    </w:pPr>
  </w:style>
  <w:style w:type="paragraph" w:styleId="4">
    <w:name w:val="Balloon Text"/>
    <w:basedOn w:val="1"/>
    <w:link w:val="9"/>
    <w:semiHidden/>
    <w:uiPriority w:val="99"/>
    <w:rPr>
      <w:sz w:val="18"/>
      <w:szCs w:val="18"/>
    </w:rPr>
  </w:style>
  <w:style w:type="character" w:styleId="6">
    <w:name w:val="annotation reference"/>
    <w:basedOn w:val="5"/>
    <w:semiHidden/>
    <w:uiPriority w:val="99"/>
    <w:rPr>
      <w:rFonts w:cs="Times New Roman"/>
      <w:sz w:val="21"/>
      <w:szCs w:val="21"/>
    </w:rPr>
  </w:style>
  <w:style w:type="character" w:customStyle="1" w:styleId="7">
    <w:name w:val="Comment Text Char"/>
    <w:basedOn w:val="5"/>
    <w:link w:val="3"/>
    <w:semiHidden/>
    <w:locked/>
    <w:uiPriority w:val="99"/>
    <w:rPr>
      <w:rFonts w:cs="Times New Roman"/>
      <w:sz w:val="24"/>
      <w:szCs w:val="24"/>
    </w:rPr>
  </w:style>
  <w:style w:type="character" w:customStyle="1" w:styleId="8">
    <w:name w:val="Comment Subject Char"/>
    <w:basedOn w:val="7"/>
    <w:link w:val="2"/>
    <w:semiHidden/>
    <w:locked/>
    <w:uiPriority w:val="99"/>
    <w:rPr>
      <w:b/>
      <w:bCs/>
    </w:rPr>
  </w:style>
  <w:style w:type="character" w:customStyle="1" w:styleId="9">
    <w:name w:val="Balloon Text Char"/>
    <w:basedOn w:val="5"/>
    <w:link w:val="4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1104</Words>
  <Characters>6295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2018-03-28T07:26:00Z</dcterms:created>
  <dc:creator>王淑敏</dc:creator>
  <cp:lastModifiedBy>未定义</cp:lastModifiedBy>
  <cp:lastPrinted>2020-03-23T08:12:00Z</cp:lastPrinted>
  <dcterms:modified xsi:type="dcterms:W3CDTF">2020-03-30T03:40:15Z</dcterms:modified>
  <dc:title>海南省港航管理局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