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3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before="0" w:after="0" w:line="53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2021年“双随机一公开”抽查计划安排表</w:t>
      </w:r>
    </w:p>
    <w:p>
      <w:pPr>
        <w:widowControl w:val="0"/>
        <w:wordWrap/>
        <w:adjustRightInd/>
        <w:snapToGrid/>
        <w:spacing w:before="0" w:after="0" w:line="53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_GB2312" w:eastAsia="仿宋_GB2312"/>
          <w:sz w:val="30"/>
          <w:szCs w:val="30"/>
        </w:rPr>
        <w:t>填报单位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(处室)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  <w:lang w:eastAsia="zh-CN"/>
        </w:rPr>
        <w:t>海南省港航管理局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填报时间：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2021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4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W w:w="15445" w:type="dxa"/>
        <w:tblInd w:w="-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707"/>
        <w:gridCol w:w="1782"/>
        <w:gridCol w:w="4011"/>
        <w:gridCol w:w="1991"/>
        <w:gridCol w:w="4085"/>
        <w:gridCol w:w="890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4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抽查计划名称</w:t>
            </w:r>
          </w:p>
        </w:tc>
        <w:tc>
          <w:tcPr>
            <w:tcW w:w="1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抽查任务</w:t>
            </w:r>
          </w:p>
        </w:tc>
        <w:tc>
          <w:tcPr>
            <w:tcW w:w="40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抽查事项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抽查对象范围</w:t>
            </w:r>
          </w:p>
        </w:tc>
        <w:tc>
          <w:tcPr>
            <w:tcW w:w="40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抽查比例</w:t>
            </w:r>
          </w:p>
        </w:tc>
        <w:tc>
          <w:tcPr>
            <w:tcW w:w="8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实施检查时间</w:t>
            </w:r>
          </w:p>
        </w:tc>
        <w:tc>
          <w:tcPr>
            <w:tcW w:w="4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水路运输经营者经营资质条件、安全生产条件及市场主体行为检查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水路运输经营者经营资质条件、安全生产条件及市场主体行为检查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1.经营者是否保持相应的经营资质条件；2. 经营者是否按照法定条件依法开展经营活动；3. 经营者是否具备《安全生产法》和有关法律、行政法规和国家标准或者行业标准规定的安全生产条件。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Style w:val="13"/>
                <w:rFonts w:hAnsi="宋体"/>
                <w:sz w:val="21"/>
                <w:szCs w:val="21"/>
                <w:lang w:val="en-US" w:eastAsia="zh-CN" w:bidi="ar-SA"/>
              </w:rPr>
              <w:t>水路运输经营者</w:t>
            </w:r>
            <w:r>
              <w:rPr>
                <w:rStyle w:val="14"/>
                <w:rFonts w:hAnsi="宋体"/>
                <w:sz w:val="21"/>
                <w:szCs w:val="21"/>
                <w:lang w:val="en-US" w:eastAsia="zh-CN" w:bidi="ar-SA"/>
              </w:rPr>
              <w:t>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采取定期抽查和不定期抽查的方式相结合。其中定期抽查为每年一次，抽查比例为名录库中市场主体的100%。不定期抽查至少每年一次，抽查比例原则上为名录库中市场主体的5%。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船舶管理业务经营者经营资质条件、安全生产条件及市场主体行为检查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船舶管理业务经营者经营资质条件、安全生产条件及市场主体行为检查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1.经营者是否保持相应的经营资质条件；2. 经营者是否按照法定条件依法开展经营活动；3.经营者是否具备《安全生产法》和有关法律、行政法规和国家标准或者行业标准规定的安全生产条件。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船舶管理业务《市场主体名录库》中的企业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采取定期抽查和不定期抽查的方式相结合。其中定期抽查为每年一次，抽查比例为名录库中市场主体的100%。不定期抽查至少每年一次，抽查比例原则上为名录库中市场主体的5%。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国际船舶运输经营者经营资质条件检查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国际船舶运输经营者经营资质条件检查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Style w:val="14"/>
                <w:rFonts w:hAnsi="宋体"/>
                <w:sz w:val="21"/>
                <w:szCs w:val="21"/>
                <w:lang w:val="en-US" w:eastAsia="zh-CN" w:bidi="ar-SA"/>
              </w:rPr>
              <w:t>1.国际船舶运输经营者是否保持相应的经营资质条件；2. 国际船舶运输经营者是否按照法定条件依法开展经营活动。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Style w:val="14"/>
                <w:rFonts w:hAnsi="宋体"/>
                <w:sz w:val="21"/>
                <w:szCs w:val="21"/>
                <w:lang w:val="en-US" w:eastAsia="zh-CN" w:bidi="ar-SA"/>
              </w:rPr>
              <w:t>国际船舶运输《市场主体名录库》中的企业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采取定期抽查和不定期检查的方式。其中定期核查为每年一次，核查比例为名录库中市场主体的100%。不定期抽查至少一次，抽查比例原则上为名录库中市场主体的10%。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港口经营监管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港口经营监管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对港口经营行为及收费情况等进行检查；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港口经营监管《市场主体名录库》中的企业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现场查看、查阅资料、询问核查等（抽查比例：原则上不少于名录库中市场主体的10%；抽查频次：1年不少于1次）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港口安全生产监督检查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港口安全生产监督检查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、港口经营人是否按照是否按照有关法律法规和有关规定，加强安全生产管理；2、是否建立健全安全生产责任制等规章制度；3、是否落实安全生产主体责任；4、是否完善安全生产条件，采取有效措施，确保安全生产等。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Style w:val="14"/>
                <w:rFonts w:hAnsi="宋体"/>
                <w:sz w:val="21"/>
                <w:szCs w:val="21"/>
                <w:lang w:val="en-US" w:eastAsia="zh-CN" w:bidi="ar-SA"/>
              </w:rPr>
              <w:t>港口安全生产《市场主体名录库》中的企业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现场查看、查阅资料、询问核查等（抽查比例：原则上不少于名录库中市场主体的10%；抽查频次：1年不少于1次）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港口危险货物建设项目安全审查许可的后续监管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港口危险货物建设项目安全审查许可的后续监管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对已通过安全审查的港口建设项目的建设单位进行检查：1、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港口建设项目是否严格按照安全审查许可内容建设；2、建设单位通过审查时提交的文件、材料的真实性；3、是否有需要重新申请审查情形的，建设单位是否重新申请安全审查。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Style w:val="14"/>
                <w:rFonts w:hAnsi="宋体"/>
                <w:sz w:val="21"/>
                <w:szCs w:val="21"/>
                <w:lang w:val="en-US" w:eastAsia="zh-CN" w:bidi="ar-SA"/>
              </w:rPr>
              <w:t>港口危险货物《市场主体名录库》中的企业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现场查看、查阅资料、询问核查等（抽查比例：原则上不少于名录库中市场主体的10%；抽查频次：1年不少于1次）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建设项目使用港口非深水岸线的后续监管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建设项目使用港口非深水岸线的后续监管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对取得港口岸线使用许可的执行情况等进行检查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Style w:val="14"/>
                <w:rFonts w:hAnsi="宋体"/>
                <w:sz w:val="21"/>
                <w:szCs w:val="21"/>
                <w:lang w:val="en-US" w:eastAsia="zh-CN" w:bidi="ar-SA"/>
              </w:rPr>
              <w:t>港口非深水岸线《市场主体名录库》中的企业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现场查看、查阅资料、询问核查等（抽查比例：原则上不少于名录库中市场主体的10%；抽查频次：1年不少于1次）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港口设施保安检查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港口设施保安检查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对港口设施保安计划的履行情况进行检查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港口设施保安《市场主体名录库》中的企业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现场查看、查阅资料、询问核查等（抽查比例：原则上不少于名录库中市场主体的10%；抽查频次：1年不少于1次）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exact"/>
        </w:trPr>
        <w:tc>
          <w:tcPr>
            <w:tcW w:w="499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航道通航条件影响评价审核的后续监管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航道通航条件影响评价审核的后续监管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（一）建设单位未依法报送航道通航条件影响评价材料而开工建设的；（二）报送以上材料未通过审核，建设单位开工建设的；（三）通过航道通航条件影响评价审核的单位或企业是否按照批准的范围、坐标、平面布置、结构型式、功能等建设使用。重点检查：1.违反通过审核内容和要求建设有关航道设施的；2.未经批准建设有关航道设施的。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航道通航条件影响评价《市场主体名录库》中的企业</w:t>
            </w:r>
          </w:p>
        </w:tc>
        <w:tc>
          <w:tcPr>
            <w:tcW w:w="408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定期监督检查和不定期监督检查相结合的方式。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ordWrap/>
        <w:adjustRightInd/>
        <w:snapToGrid/>
        <w:spacing w:before="0" w:after="0" w:line="300" w:lineRule="exact"/>
        <w:ind w:left="0" w:leftChars="0" w:right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footerReference r:id="rId4" w:type="default"/>
      <w:footerReference r:id="rId5" w:type="even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</w:pPr>
    <w:r>
      <w:rPr>
        <w:rFonts w:hint="eastAsia" w:ascii="宋体" w:hAnsi="宋体" w:eastAsia="宋体"/>
        <w:sz w:val="28"/>
        <w:szCs w:val="28"/>
      </w:rPr>
      <w:t>―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―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hint="eastAsia" w:ascii="宋体" w:hAnsi="宋体" w:eastAsia="宋体"/>
        <w:sz w:val="28"/>
        <w:szCs w:val="28"/>
      </w:rPr>
      <w:t>―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―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8">
    <w:name w:val="page number"/>
    <w:basedOn w:val="7"/>
    <w:semiHidden/>
    <w:unhideWhenUsed/>
    <w:uiPriority w:val="0"/>
    <w:rPr/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  <w:rPr/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font31"/>
    <w:basedOn w:val="7"/>
    <w:uiPriority w:val="0"/>
    <w:rPr>
      <w:rFonts w:hint="eastAsia" w:ascii="仿宋_GB2312" w:eastAsia="仿宋_GB2312" w:cs="仿宋_GB2312"/>
      <w:color w:val="000000"/>
      <w:sz w:val="28"/>
      <w:szCs w:val="28"/>
    </w:rPr>
  </w:style>
  <w:style w:type="character" w:customStyle="1" w:styleId="14">
    <w:name w:val="font21"/>
    <w:basedOn w:val="7"/>
    <w:uiPriority w:val="0"/>
    <w:rPr>
      <w:rFonts w:hint="eastAsia" w:ascii="仿宋_GB2312" w:eastAsia="仿宋_GB2312" w:cs="仿宋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431</Words>
  <Characters>2457</Characters>
  <Lines>20</Lines>
  <Paragraphs>5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2021-04-07T02:12:00Z</dcterms:created>
  <dc:creator>lenovo</dc:creator>
  <cp:lastModifiedBy>未定义</cp:lastModifiedBy>
  <cp:lastPrinted>2021-04-21T07:57:00Z</cp:lastPrinted>
  <dcterms:modified xsi:type="dcterms:W3CDTF">2021-04-22T02:06:05Z</dcterms:modified>
  <dc:title>关于报送2021年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