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3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before="0" w:after="0" w:line="53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eastAsia="仿宋_GB2312"/>
          <w:b/>
          <w:sz w:val="44"/>
          <w:szCs w:val="44"/>
        </w:rPr>
        <w:t>年“双随机一公开”抽查计划安排表</w:t>
      </w:r>
    </w:p>
    <w:p>
      <w:pPr>
        <w:widowControl w:val="0"/>
        <w:wordWrap/>
        <w:adjustRightInd/>
        <w:snapToGrid/>
        <w:spacing w:before="0" w:after="0" w:line="53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填报单位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(处室)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eastAsia="zh-CN"/>
        </w:rPr>
        <w:t>海南省港航管理局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填报时间：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W w:w="15445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707"/>
        <w:gridCol w:w="1782"/>
        <w:gridCol w:w="4011"/>
        <w:gridCol w:w="1991"/>
        <w:gridCol w:w="4085"/>
        <w:gridCol w:w="89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抽查计划名称</w:t>
            </w:r>
          </w:p>
        </w:tc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抽查任务</w:t>
            </w:r>
          </w:p>
        </w:tc>
        <w:tc>
          <w:tcPr>
            <w:tcW w:w="4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抽查对象范围</w:t>
            </w:r>
          </w:p>
        </w:tc>
        <w:tc>
          <w:tcPr>
            <w:tcW w:w="40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抽查比例</w:t>
            </w:r>
          </w:p>
        </w:tc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实施检查时间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水路运输经营者经营资质条件、安全生产条件及市场主体行为检查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水路运输经营者经营资质条件、安全生产条件及市场主体行为检查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1.经营者是否保持相应的经营资质条件；2. 经营者是否按照法定条件依法开展经营活动；3. 经营者是否具备《安全生产法》和有关法律、行政法规和国家标准或者行业标准规定的安全生产条件。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Style w:val="13"/>
                <w:rFonts w:hAnsi="宋体"/>
                <w:sz w:val="21"/>
                <w:szCs w:val="21"/>
                <w:lang w:val="en-US" w:eastAsia="zh-CN" w:bidi="ar-SA"/>
              </w:rPr>
              <w:t>水路运输经营者</w:t>
            </w: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采取定期抽查和不定期抽查的方式相结合。其中定期抽查为每年一次，抽查比例为名录库中市场主体的100%。不定期抽查至少每年一次，抽查比例原则上为名录库中市场主体的5%。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船舶管理业务经营者经营资质条件、安全生产条件及市场主体行为检查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船舶管理业务经营者经营资质条件、安全生产条件及市场主体行为检查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1.经营者是否保持相应的经营资质条件；2. 经营者是否按照法定条件依法开展经营活动；3.经营者是否具备《安全生产法》和有关法律、行政法规和国家标准或者行业标准规定的安全生产条件。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船舶管理业务《市场主体名录库》中的企业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采取定期抽查和不定期抽查的方式相结合。其中定期抽查为每年一次，抽查比例为名录库中市场主体的100%。不定期抽查至少每年一次，抽查比例原则上为名录库中市场主体的5%。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国际船舶运输经营者经营资质条件检查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国际船舶运输经营者经营资质条件检查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1.国际船舶运输经营者是否保持相应的经营资质条件；2. 国际船舶运输经营者是否按照法定条件依法开展经营活动。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国际船舶运输《市场主体名录库》中的企业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采取定期抽查和不定期检查的方式。其中定期核查为每年一次，核查比例为名录库中市场主体的100%。不定期抽查至少一次，抽查比例原则上为名录库中市场主体的10%。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港口经营监管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港口经营监管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对港口经营行为及收费情况等进行检查；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港口经营监管《市场主体名录库》中的企业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港口安全生产监督检查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港口安全生产监督检查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、港口经营人是否按照是否按照有关法律法规和有关规定，加强安全生产管理；2、是否建立健全安全生产责任制等规章制度；3、是否落实安全生产主体责任；4、是否完善安全生产条件，采取有效措施，确保安全生产等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港口安全生产《市场主体名录库》中的企业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港口危险货物建设项目安全审查许可的后续监管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港口危险货物建设项目安全审查许可的后续监管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已通过安全审查的港口建设项目的建设单位进行检查：1、港口建设项目是否严格按照安全审查许可内容建设；2、建设单位通过审查时提交的文件、材料的真实性；3、是否有需要重新申请审查情形的，建设单位是否重新申请安全审查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港口危险货物《市场主体名录库》中的企业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建设项目使用港口非深水岸线的后续监管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建设项目使用港口非深水岸线的后续监管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对取得港口岸线使用许可的执行情况等进行检查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港口非深水岸线《市场主体名录库》中的企业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港口设施保安检查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港口设施保安检查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对港口设施保安计划的履行情况进行检查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港口设施保安《市场主体名录库》中的企业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航道通航条件影响评价审核的后续监管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航道通航条件影响评价审核的后续监管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一）建设单位未依法报送航道通航条件影响评价材料而开工建设的；（二）报送以上材料未通过审核，建设单位开工建设的；（三）通过航道通航条件影响评价审核的单位或企业是否按照批准的范围、坐标、平面布置、结构型式、功能等建设使用。重点检查：1.违反通过审核内容和要求建设有关航道设施的；2.未经批准建设有关航道设施的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航道通航条件影响评价《市场主体名录库》中的企业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定期监督检查和不定期监督检查相结合的方式。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ordWrap/>
        <w:adjustRightInd/>
        <w:snapToGrid/>
        <w:spacing w:before="0" w:after="0" w:line="30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rPr>
        <w:rFonts w:hint="eastAsia" w:ascii="宋体" w:hAnsi="宋体" w:eastAsia="宋体"/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宋体" w:hAnsi="宋体" w:eastAsia="宋体"/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8">
    <w:name w:val="page number"/>
    <w:basedOn w:val="7"/>
    <w:semiHidden/>
    <w:unhideWhenUsed/>
    <w:uiPriority w:val="0"/>
    <w:rPr/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font31"/>
    <w:basedOn w:val="7"/>
    <w:uiPriority w:val="0"/>
    <w:rPr>
      <w:rFonts w:hint="eastAsia" w:ascii="仿宋_GB2312" w:eastAsia="仿宋_GB2312" w:cs="仿宋_GB2312"/>
      <w:color w:val="000000"/>
      <w:sz w:val="28"/>
      <w:szCs w:val="28"/>
    </w:rPr>
  </w:style>
  <w:style w:type="character" w:customStyle="1" w:styleId="14">
    <w:name w:val="font21"/>
    <w:basedOn w:val="7"/>
    <w:uiPriority w:val="0"/>
    <w:rPr>
      <w:rFonts w:hint="eastAsia" w:ascii="仿宋_GB2312" w:eastAsia="仿宋_GB2312" w:cs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431</Words>
  <Characters>2457</Characters>
  <Lines>20</Lines>
  <Paragraphs>5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2021-04-07T02:12:00Z</dcterms:created>
  <dc:creator>lenovo</dc:creator>
  <cp:lastModifiedBy>未定义</cp:lastModifiedBy>
  <cp:lastPrinted>2021-04-21T07:57:00Z</cp:lastPrinted>
  <dcterms:modified xsi:type="dcterms:W3CDTF">2022-04-12T01:07:59Z</dcterms:modified>
  <dc:title>关于报送2021年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