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rPr>
          <w:rFonts w:ascii="黑体" w:eastAsia="黑体"/>
          <w:sz w:val="32"/>
          <w:szCs w:val="32"/>
        </w:rPr>
      </w:pPr>
      <w:r>
        <w:rPr>
          <w:rFonts w:hint="eastAsia" w:ascii="黑体" w:eastAsia="黑体"/>
          <w:sz w:val="32"/>
          <w:szCs w:val="32"/>
        </w:rPr>
        <w:t>附件1</w:t>
      </w:r>
    </w:p>
    <w:p>
      <w:pPr>
        <w:spacing w:before="100" w:beforeAutospacing="1" w:after="100" w:afterAutospacing="1"/>
        <w:rPr>
          <w:sz w:val="30"/>
          <w:szCs w:val="30"/>
        </w:rPr>
      </w:pPr>
    </w:p>
    <w:p>
      <w:pPr>
        <w:spacing w:before="100" w:beforeAutospacing="1" w:after="100" w:afterAutospacing="1"/>
        <w:jc w:val="center"/>
        <w:rPr>
          <w:rFonts w:ascii="黑体" w:hAnsi="ˎ̥" w:eastAsia="黑体"/>
          <w:sz w:val="44"/>
          <w:szCs w:val="44"/>
        </w:rPr>
      </w:pPr>
      <w:r>
        <w:rPr>
          <w:rFonts w:hint="eastAsia" w:ascii="黑体" w:hAnsi="ˎ̥" w:eastAsia="黑体"/>
          <w:sz w:val="44"/>
          <w:szCs w:val="44"/>
        </w:rPr>
        <w:t>海南省儋州航道所2020年度单位决算</w:t>
      </w:r>
    </w:p>
    <w:p>
      <w:pPr>
        <w:spacing w:before="100" w:beforeAutospacing="1" w:after="100" w:afterAutospacing="1"/>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bookmarkEnd w:id="0"/>
    <w:p>
      <w:pPr>
        <w:pStyle w:val="12"/>
        <w:tabs>
          <w:tab w:val="right" w:leader="dot" w:pos="8306"/>
        </w:tabs>
        <w:rPr>
          <w:rFonts w:ascii="黑体" w:hAnsi="黑体" w:eastAsia="黑体"/>
          <w:sz w:val="32"/>
          <w:szCs w:val="32"/>
        </w:rPr>
      </w:pPr>
      <w:r>
        <w:fldChar w:fldCharType="begin"/>
      </w:r>
      <w:r>
        <w:instrText xml:space="preserve"> HYPERLINK "" \l "_Toc1704_WPSOffice_Level1" </w:instrText>
      </w:r>
      <w:r>
        <w:fldChar w:fldCharType="separate"/>
      </w:r>
      <w:r>
        <w:rPr>
          <w:rStyle w:val="7"/>
          <w:rFonts w:hint="eastAsia" w:ascii="黑体" w:hAnsi="黑体" w:eastAsia="黑体"/>
          <w:color w:val="auto"/>
          <w:sz w:val="32"/>
          <w:szCs w:val="32"/>
          <w:u w:val="none"/>
        </w:rPr>
        <w:t>第一部分  海南省儋州航道所概况</w:t>
      </w:r>
      <w:r>
        <w:rPr>
          <w:rStyle w:val="7"/>
          <w:rFonts w:hint="eastAsia" w:ascii="黑体" w:hAnsi="黑体" w:eastAsia="黑体"/>
          <w:color w:val="auto"/>
          <w:sz w:val="32"/>
          <w:szCs w:val="32"/>
          <w:u w:val="none"/>
        </w:rPr>
        <w:tab/>
      </w:r>
      <w:r>
        <w:rPr>
          <w:rStyle w:val="7"/>
          <w:rFonts w:hint="eastAsia" w:ascii="黑体" w:hAnsi="黑体" w:eastAsia="黑体"/>
          <w:color w:val="auto"/>
          <w:sz w:val="32"/>
          <w:szCs w:val="32"/>
          <w:u w:val="none"/>
        </w:rPr>
        <w:t>3</w:t>
      </w:r>
      <w: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"_Toc20274_WPSOffice_Level2" </w:instrText>
      </w:r>
      <w:r>
        <w:fldChar w:fldCharType="separate"/>
      </w:r>
      <w:r>
        <w:rPr>
          <w:rStyle w:val="7"/>
          <w:rFonts w:hint="eastAsia" w:ascii="仿宋" w:hAnsi="仿宋" w:eastAsia="仿宋" w:cs="仿宋"/>
          <w:color w:val="auto"/>
          <w:sz w:val="32"/>
          <w:szCs w:val="32"/>
          <w:u w:val="none"/>
        </w:rPr>
        <w:t>一、单位职责</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3</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"_Toc4833_WPSOffice_Level2" </w:instrText>
      </w:r>
      <w:r>
        <w:fldChar w:fldCharType="separate"/>
      </w:r>
      <w:r>
        <w:rPr>
          <w:rStyle w:val="7"/>
          <w:rFonts w:hint="eastAsia" w:ascii="仿宋" w:hAnsi="仿宋" w:eastAsia="仿宋" w:cs="仿宋"/>
          <w:color w:val="auto"/>
          <w:sz w:val="32"/>
          <w:szCs w:val="32"/>
          <w:u w:val="none"/>
        </w:rPr>
        <w:t>二、机构设置</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3</w:t>
      </w:r>
      <w:r>
        <w:rPr>
          <w:rStyle w:val="7"/>
          <w:rFonts w:hint="eastAsia" w:ascii="仿宋" w:hAnsi="仿宋" w:eastAsia="仿宋" w:cs="仿宋"/>
          <w:color w:val="auto"/>
          <w:sz w:val="32"/>
          <w:szCs w:val="32"/>
          <w:u w:val="none"/>
        </w:rPr>
        <w:fldChar w:fldCharType="end"/>
      </w:r>
    </w:p>
    <w:p>
      <w:pPr>
        <w:pStyle w:val="12"/>
        <w:tabs>
          <w:tab w:val="right" w:leader="dot" w:pos="8306"/>
        </w:tabs>
        <w:rPr>
          <w:rFonts w:ascii="黑体" w:hAnsi="黑体" w:eastAsia="黑体"/>
          <w:sz w:val="32"/>
          <w:szCs w:val="32"/>
        </w:rPr>
      </w:pPr>
      <w:r>
        <w:fldChar w:fldCharType="begin"/>
      </w:r>
      <w:r>
        <w:instrText xml:space="preserve"> HYPERLINK \l "_Toc28253_WPSOffice_Level1" </w:instrText>
      </w:r>
      <w:r>
        <w:fldChar w:fldCharType="separate"/>
      </w:r>
      <w:r>
        <w:rPr>
          <w:rStyle w:val="7"/>
          <w:rFonts w:hint="eastAsia" w:ascii="黑体" w:hAnsi="黑体" w:eastAsia="黑体"/>
          <w:color w:val="auto"/>
          <w:sz w:val="32"/>
          <w:szCs w:val="32"/>
          <w:u w:val="none"/>
        </w:rPr>
        <w:t>第二部分  海南省儋州航道所2020年度部门决算公开表</w:t>
      </w:r>
      <w:r>
        <w:rPr>
          <w:rStyle w:val="7"/>
          <w:rFonts w:hint="eastAsia" w:ascii="黑体" w:hAnsi="黑体" w:eastAsia="黑体"/>
          <w:color w:val="auto"/>
          <w:sz w:val="32"/>
          <w:szCs w:val="32"/>
          <w:u w:val="none"/>
        </w:rPr>
        <w:tab/>
      </w:r>
      <w:r>
        <w:rPr>
          <w:rStyle w:val="7"/>
          <w:rFonts w:hint="eastAsia" w:ascii="黑体" w:hAnsi="黑体" w:eastAsia="黑体"/>
          <w:color w:val="auto"/>
          <w:sz w:val="32"/>
          <w:szCs w:val="32"/>
          <w:u w:val="none"/>
        </w:rPr>
        <w:t>3</w:t>
      </w:r>
      <w:r>
        <w:rPr>
          <w:rStyle w:val="7"/>
          <w:rFonts w:hint="eastAsia" w:ascii="黑体" w:hAnsi="黑体" w:eastAsia="黑体"/>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"_Toc11518_WPSOffice_Level2" </w:instrText>
      </w:r>
      <w:r>
        <w:fldChar w:fldCharType="separate"/>
      </w:r>
      <w:r>
        <w:rPr>
          <w:rStyle w:val="7"/>
          <w:rFonts w:hint="eastAsia" w:ascii="仿宋" w:hAnsi="仿宋" w:eastAsia="仿宋" w:cs="仿宋"/>
          <w:color w:val="auto"/>
          <w:sz w:val="32"/>
          <w:szCs w:val="32"/>
          <w:u w:val="none"/>
        </w:rPr>
        <w:t>一、收入支出决算公开表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3</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"_Toc28622_WPSOffice_Level2" </w:instrText>
      </w:r>
      <w:r>
        <w:fldChar w:fldCharType="separate"/>
      </w:r>
      <w:r>
        <w:rPr>
          <w:rStyle w:val="7"/>
          <w:rFonts w:hint="eastAsia" w:ascii="仿宋" w:hAnsi="仿宋" w:eastAsia="仿宋" w:cs="仿宋"/>
          <w:color w:val="auto"/>
          <w:sz w:val="32"/>
          <w:szCs w:val="32"/>
          <w:u w:val="none"/>
        </w:rPr>
        <w:t>二、收入决算公开表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3</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"_Toc5489_WPSOffice_Level2" </w:instrText>
      </w:r>
      <w:r>
        <w:fldChar w:fldCharType="separate"/>
      </w:r>
      <w:r>
        <w:rPr>
          <w:rStyle w:val="7"/>
          <w:rFonts w:hint="eastAsia" w:ascii="仿宋" w:hAnsi="仿宋" w:eastAsia="仿宋" w:cs="仿宋"/>
          <w:color w:val="auto"/>
          <w:sz w:val="32"/>
          <w:szCs w:val="32"/>
          <w:u w:val="none"/>
        </w:rPr>
        <w:t>三、支出决算公开表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3</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"_Toc23493_WPSOffice_Level2" </w:instrText>
      </w:r>
      <w:r>
        <w:fldChar w:fldCharType="separate"/>
      </w:r>
      <w:r>
        <w:rPr>
          <w:rStyle w:val="7"/>
          <w:rFonts w:hint="eastAsia" w:ascii="仿宋" w:hAnsi="仿宋" w:eastAsia="仿宋" w:cs="仿宋"/>
          <w:color w:val="auto"/>
          <w:sz w:val="32"/>
          <w:szCs w:val="32"/>
          <w:u w:val="none"/>
        </w:rPr>
        <w:t>四、财政拨款收入支出决算公开表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3</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"_Toc7879_WPSOffice_Level2" </w:instrText>
      </w:r>
      <w:r>
        <w:fldChar w:fldCharType="separate"/>
      </w:r>
      <w:r>
        <w:rPr>
          <w:rStyle w:val="7"/>
          <w:rFonts w:hint="eastAsia" w:ascii="仿宋" w:hAnsi="仿宋" w:eastAsia="仿宋" w:cs="仿宋"/>
          <w:color w:val="auto"/>
          <w:sz w:val="32"/>
          <w:szCs w:val="32"/>
          <w:u w:val="none"/>
        </w:rPr>
        <w:t>五、一般公共预算财政拨款收入支出决算公开表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3</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"_Toc8373_WPSOffice_Level2" </w:instrText>
      </w:r>
      <w:r>
        <w:fldChar w:fldCharType="separate"/>
      </w:r>
      <w:r>
        <w:rPr>
          <w:rStyle w:val="7"/>
          <w:rFonts w:hint="eastAsia" w:ascii="仿宋" w:hAnsi="仿宋" w:eastAsia="仿宋" w:cs="仿宋"/>
          <w:color w:val="auto"/>
          <w:sz w:val="32"/>
          <w:szCs w:val="32"/>
          <w:u w:val="none"/>
        </w:rPr>
        <w:t>六、一般公共预算财政拨款基本支出决算公开表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3</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Style w:val="7"/>
          <w:rFonts w:hint="eastAsia" w:ascii="仿宋" w:hAnsi="仿宋" w:eastAsia="仿宋" w:cs="仿宋"/>
          <w:color w:val="auto"/>
          <w:sz w:val="32"/>
          <w:szCs w:val="32"/>
          <w:u w:val="none"/>
        </w:rPr>
        <w:t>七、政府性基金预算财政拨款收入支出决算公开表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3</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Style w:val="7"/>
          <w:rFonts w:hint="eastAsia" w:ascii="仿宋" w:hAnsi="仿宋" w:eastAsia="仿宋" w:cs="仿宋"/>
          <w:color w:val="auto"/>
          <w:sz w:val="32"/>
          <w:szCs w:val="32"/>
          <w:u w:val="none"/>
        </w:rPr>
        <w:t>八、国有资本经营预算财政拨款收入支出决算公开表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4</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Style w:val="7"/>
          <w:rFonts w:hint="eastAsia" w:ascii="仿宋" w:hAnsi="仿宋" w:eastAsia="仿宋" w:cs="仿宋"/>
          <w:color w:val="auto"/>
          <w:sz w:val="32"/>
          <w:szCs w:val="32"/>
          <w:u w:val="none"/>
        </w:rPr>
        <w:t>九、一般公共预算财政拨款“三公”经费支出决算公开表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4</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Style w:val="7"/>
          <w:rFonts w:hint="eastAsia" w:ascii="仿宋" w:hAnsi="仿宋" w:eastAsia="仿宋" w:cs="仿宋"/>
          <w:color w:val="auto"/>
          <w:sz w:val="32"/>
          <w:szCs w:val="32"/>
          <w:u w:val="none"/>
        </w:rPr>
        <w:t>十、政府性基金预算财政拨款“三公”经费支出决算公开表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fldChar w:fldCharType="end"/>
      </w:r>
      <w:r>
        <w:rPr>
          <w:rFonts w:hint="eastAsia" w:ascii="仿宋" w:hAnsi="仿宋" w:eastAsia="仿宋" w:cs="仿宋"/>
          <w:sz w:val="32"/>
          <w:szCs w:val="32"/>
        </w:rPr>
        <w:t>4</w:t>
      </w:r>
    </w:p>
    <w:p>
      <w:pPr>
        <w:pStyle w:val="13"/>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Style w:val="7"/>
          <w:rFonts w:hint="eastAsia" w:ascii="仿宋" w:hAnsi="仿宋" w:eastAsia="仿宋" w:cs="仿宋"/>
          <w:color w:val="auto"/>
          <w:sz w:val="32"/>
          <w:szCs w:val="32"/>
          <w:u w:val="none"/>
        </w:rPr>
        <w:t>十一、国有资本经营预算财政拨款“三公”经费支出决算公开表</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4</w:t>
      </w:r>
      <w:r>
        <w:rPr>
          <w:rStyle w:val="7"/>
          <w:rFonts w:hint="eastAsia" w:ascii="仿宋" w:hAnsi="仿宋" w:eastAsia="仿宋" w:cs="仿宋"/>
          <w:color w:val="auto"/>
          <w:sz w:val="32"/>
          <w:szCs w:val="32"/>
          <w:u w:val="none"/>
        </w:rPr>
        <w:fldChar w:fldCharType="end"/>
      </w:r>
    </w:p>
    <w:p>
      <w:pPr>
        <w:pStyle w:val="12"/>
        <w:tabs>
          <w:tab w:val="right" w:leader="dot" w:pos="8306"/>
        </w:tabs>
        <w:rPr>
          <w:rFonts w:ascii="黑体" w:hAnsi="黑体" w:eastAsia="黑体"/>
          <w:sz w:val="32"/>
          <w:szCs w:val="32"/>
        </w:rPr>
      </w:pPr>
      <w:r>
        <w:fldChar w:fldCharType="begin"/>
      </w:r>
      <w:r>
        <w:instrText xml:space="preserve"> HYPERLINK \l "_Toc27590_WPSOffice_Level1" </w:instrText>
      </w:r>
      <w:r>
        <w:fldChar w:fldCharType="separate"/>
      </w:r>
      <w:r>
        <w:rPr>
          <w:rStyle w:val="7"/>
          <w:rFonts w:hint="eastAsia" w:ascii="黑体" w:hAnsi="黑体" w:eastAsia="黑体" w:cs="黑体"/>
          <w:color w:val="auto"/>
          <w:sz w:val="32"/>
          <w:szCs w:val="32"/>
          <w:u w:val="none"/>
        </w:rPr>
        <w:t>第三部分</w:t>
      </w:r>
      <w:r>
        <w:rPr>
          <w:rStyle w:val="7"/>
          <w:rFonts w:hint="eastAsia" w:ascii="黑体" w:hAnsi="黑体" w:eastAsia="黑体"/>
          <w:color w:val="auto"/>
          <w:sz w:val="32"/>
          <w:szCs w:val="32"/>
          <w:u w:val="none"/>
        </w:rPr>
        <w:t xml:space="preserve"> 海南省儋州航道所2020年度单位决算情况说明</w:t>
      </w:r>
      <w:r>
        <w:rPr>
          <w:rStyle w:val="7"/>
          <w:rFonts w:hint="eastAsia" w:ascii="黑体" w:hAnsi="黑体" w:eastAsia="黑体"/>
          <w:color w:val="auto"/>
          <w:sz w:val="32"/>
          <w:szCs w:val="32"/>
          <w:u w:val="none"/>
        </w:rPr>
        <w:tab/>
      </w:r>
      <w:r>
        <w:rPr>
          <w:rStyle w:val="7"/>
          <w:rFonts w:hint="eastAsia" w:ascii="黑体" w:hAnsi="黑体" w:eastAsia="黑体"/>
          <w:color w:val="auto"/>
          <w:sz w:val="32"/>
          <w:szCs w:val="32"/>
          <w:u w:val="none"/>
        </w:rPr>
        <w:t>4</w:t>
      </w:r>
      <w:r>
        <w:rPr>
          <w:rStyle w:val="7"/>
          <w:rFonts w:hint="eastAsia" w:ascii="黑体" w:hAnsi="黑体" w:eastAsia="黑体"/>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"_Toc21737_WPSOffice_Level2" </w:instrText>
      </w:r>
      <w:r>
        <w:fldChar w:fldCharType="separate"/>
      </w:r>
      <w:r>
        <w:rPr>
          <w:rStyle w:val="7"/>
          <w:rFonts w:hint="eastAsia" w:ascii="仿宋" w:hAnsi="仿宋" w:eastAsia="仿宋" w:cs="仿宋"/>
          <w:bCs/>
          <w:color w:val="auto"/>
          <w:sz w:val="32"/>
          <w:szCs w:val="32"/>
          <w:u w:val="none"/>
        </w:rPr>
        <w:t>一、收入支出决算总体情况说明</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4</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7"/>
          <w:rFonts w:hint="eastAsia" w:ascii="仿宋" w:hAnsi="仿宋" w:eastAsia="仿宋" w:cs="仿宋"/>
          <w:bCs/>
          <w:color w:val="auto"/>
          <w:sz w:val="32"/>
          <w:szCs w:val="32"/>
          <w:u w:val="none"/>
        </w:rPr>
        <w:t>二、收入决算情况说明</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4</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7"/>
          <w:rFonts w:hint="eastAsia" w:ascii="仿宋" w:hAnsi="仿宋" w:eastAsia="仿宋" w:cs="仿宋"/>
          <w:bCs/>
          <w:color w:val="auto"/>
          <w:sz w:val="32"/>
          <w:szCs w:val="32"/>
          <w:u w:val="none"/>
        </w:rPr>
        <w:t>三、支出决算情况说明</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5</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7"/>
          <w:rFonts w:hint="eastAsia" w:ascii="仿宋" w:hAnsi="仿宋" w:eastAsia="仿宋" w:cs="仿宋"/>
          <w:bCs/>
          <w:color w:val="auto"/>
          <w:sz w:val="32"/>
          <w:szCs w:val="32"/>
          <w:u w:val="none"/>
        </w:rPr>
        <w:t>四、财政拨款收入支出决算情况说明</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5</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7"/>
          <w:rFonts w:hint="eastAsia" w:ascii="仿宋" w:hAnsi="仿宋" w:eastAsia="仿宋" w:cs="仿宋"/>
          <w:bCs/>
          <w:color w:val="auto"/>
          <w:sz w:val="32"/>
          <w:szCs w:val="32"/>
          <w:u w:val="none"/>
        </w:rPr>
        <w:t>五、一般公共预算财政拨款支出决算情况说明</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t>6</w:t>
      </w:r>
      <w:r>
        <w:rPr>
          <w:rStyle w:val="7"/>
          <w:rFonts w:hint="eastAsia" w:ascii="仿宋" w:hAnsi="仿宋" w:eastAsia="仿宋" w:cs="仿宋"/>
          <w:color w:val="auto"/>
          <w:sz w:val="32"/>
          <w:szCs w:val="32"/>
          <w:u w:val="none"/>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7"/>
          <w:rFonts w:hint="eastAsia" w:ascii="仿宋" w:hAnsi="仿宋" w:eastAsia="仿宋" w:cs="仿宋"/>
          <w:bCs/>
          <w:color w:val="auto"/>
          <w:sz w:val="32"/>
          <w:szCs w:val="32"/>
          <w:u w:val="none"/>
        </w:rPr>
        <w:t>六、一般公共预算财政拨款基本支出决算情况说明</w:t>
      </w:r>
      <w:r>
        <w:rPr>
          <w:rStyle w:val="7"/>
          <w:rFonts w:hint="eastAsia" w:ascii="仿宋" w:hAnsi="仿宋" w:eastAsia="仿宋" w:cs="仿宋"/>
          <w:bCs/>
          <w:color w:val="auto"/>
          <w:sz w:val="32"/>
          <w:szCs w:val="32"/>
          <w:u w:val="none"/>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13"/>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13"/>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Style w:val="7"/>
          <w:color w:val="auto"/>
          <w:w w:val="98"/>
          <w:u w:val="none"/>
        </w:rPr>
      </w:pPr>
      <w:r>
        <w:fldChar w:fldCharType="begin"/>
      </w:r>
      <w:r>
        <w:instrText xml:space="preserve"> HYPERLINK \l "_Toc5978_WPSOffice_Level2" </w:instrText>
      </w:r>
      <w:r>
        <w:fldChar w:fldCharType="separate"/>
      </w:r>
      <w:r>
        <w:rPr>
          <w:rStyle w:val="7"/>
          <w:rFonts w:hint="eastAsia" w:ascii="仿宋" w:hAnsi="仿宋" w:eastAsia="仿宋" w:cs="仿宋"/>
          <w:bCs/>
          <w:color w:val="auto"/>
          <w:sz w:val="32"/>
          <w:szCs w:val="32"/>
          <w:u w:val="none"/>
        </w:rPr>
        <w:t>九、</w:t>
      </w:r>
      <w:r>
        <w:rPr>
          <w:rStyle w:val="7"/>
          <w:rFonts w:hint="eastAsia" w:ascii="仿宋" w:hAnsi="仿宋" w:eastAsia="仿宋" w:cs="仿宋"/>
          <w:bCs/>
          <w:color w:val="auto"/>
          <w:w w:val="98"/>
          <w:sz w:val="32"/>
          <w:szCs w:val="32"/>
          <w:u w:val="none"/>
        </w:rPr>
        <w:t>一般公共预算财政拨款“三公”经费支出决算情况说明</w:t>
      </w:r>
      <w:r>
        <w:rPr>
          <w:rStyle w:val="7"/>
          <w:rFonts w:hint="eastAsia" w:ascii="仿宋" w:hAnsi="仿宋" w:eastAsia="仿宋" w:cs="仿宋"/>
          <w:bCs/>
          <w:color w:val="auto"/>
          <w:w w:val="98"/>
          <w:sz w:val="32"/>
          <w:szCs w:val="32"/>
          <w:u w:val="none"/>
        </w:rPr>
        <w:fldChar w:fldCharType="end"/>
      </w:r>
    </w:p>
    <w:p>
      <w:pPr>
        <w:pStyle w:val="13"/>
        <w:tabs>
          <w:tab w:val="right" w:leader="dot" w:pos="8306"/>
        </w:tabs>
        <w:ind w:leftChars="0"/>
      </w:pPr>
      <w:r>
        <w:fldChar w:fldCharType="begin"/>
      </w:r>
      <w:r>
        <w:instrText xml:space="preserve"> HYPERLINK \l "_Toc5978_WPSOffice_Level2" </w:instrText>
      </w:r>
      <w:r>
        <w:fldChar w:fldCharType="separate"/>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fldChar w:fldCharType="end"/>
      </w:r>
      <w:r>
        <w:rPr>
          <w:rFonts w:hint="eastAsia" w:ascii="仿宋" w:hAnsi="仿宋" w:eastAsia="仿宋" w:cs="仿宋"/>
          <w:sz w:val="32"/>
          <w:szCs w:val="32"/>
        </w:rPr>
        <w:t>8</w:t>
      </w:r>
    </w:p>
    <w:p>
      <w:pPr>
        <w:rPr>
          <w:rStyle w:val="7"/>
          <w:color w:val="auto"/>
          <w:w w:val="98"/>
          <w:u w:val="none"/>
        </w:rPr>
      </w:pPr>
      <w:r>
        <w:fldChar w:fldCharType="begin"/>
      </w:r>
      <w:r>
        <w:instrText xml:space="preserve"> HYPERLINK \l "_Toc5978_WPSOffice_Level2" </w:instrText>
      </w:r>
      <w:r>
        <w:fldChar w:fldCharType="separate"/>
      </w:r>
      <w:r>
        <w:rPr>
          <w:rStyle w:val="7"/>
          <w:rFonts w:hint="eastAsia" w:ascii="仿宋" w:hAnsi="仿宋" w:eastAsia="仿宋" w:cs="仿宋"/>
          <w:bCs/>
          <w:color w:val="auto"/>
          <w:sz w:val="32"/>
          <w:szCs w:val="32"/>
          <w:u w:val="none"/>
        </w:rPr>
        <w:t>十、</w:t>
      </w:r>
      <w:r>
        <w:rPr>
          <w:rStyle w:val="7"/>
          <w:rFonts w:hint="eastAsia" w:ascii="仿宋" w:hAnsi="仿宋" w:eastAsia="仿宋" w:cs="仿宋"/>
          <w:bCs/>
          <w:color w:val="auto"/>
          <w:w w:val="98"/>
          <w:sz w:val="32"/>
          <w:szCs w:val="32"/>
          <w:u w:val="none"/>
        </w:rPr>
        <w:t>政府性基金预算财政拨款“三公”经费支出决算情况说明</w:t>
      </w:r>
      <w:r>
        <w:rPr>
          <w:rStyle w:val="7"/>
          <w:rFonts w:hint="eastAsia" w:ascii="仿宋" w:hAnsi="仿宋" w:eastAsia="仿宋" w:cs="仿宋"/>
          <w:bCs/>
          <w:color w:val="auto"/>
          <w:w w:val="98"/>
          <w:sz w:val="32"/>
          <w:szCs w:val="32"/>
          <w:u w:val="none"/>
        </w:rPr>
        <w:fldChar w:fldCharType="end"/>
      </w:r>
    </w:p>
    <w:p>
      <w:pPr>
        <w:pStyle w:val="13"/>
        <w:tabs>
          <w:tab w:val="right" w:leader="dot" w:pos="8306"/>
        </w:tabs>
        <w:ind w:left="0" w:leftChars="0"/>
      </w:pPr>
      <w:r>
        <w:fldChar w:fldCharType="begin"/>
      </w:r>
      <w:r>
        <w:instrText xml:space="preserve"> HYPERLINK \l "_Toc5978_WPSOffice_Level2" </w:instrText>
      </w:r>
      <w:r>
        <w:fldChar w:fldCharType="separate"/>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fldChar w:fldCharType="end"/>
      </w:r>
      <w:r>
        <w:rPr>
          <w:rFonts w:hint="eastAsia" w:ascii="仿宋" w:hAnsi="仿宋" w:eastAsia="仿宋" w:cs="仿宋"/>
          <w:sz w:val="32"/>
          <w:szCs w:val="32"/>
        </w:rPr>
        <w:t>8</w:t>
      </w:r>
    </w:p>
    <w:p>
      <w:pPr>
        <w:rPr>
          <w:rStyle w:val="7"/>
          <w:color w:val="auto"/>
          <w:w w:val="91"/>
          <w:u w:val="none"/>
        </w:rPr>
      </w:pPr>
      <w:r>
        <w:fldChar w:fldCharType="begin"/>
      </w:r>
      <w:r>
        <w:instrText xml:space="preserve"> HYPERLINK \l "_Toc5978_WPSOffice_Level2" </w:instrText>
      </w:r>
      <w:r>
        <w:fldChar w:fldCharType="separate"/>
      </w:r>
      <w:r>
        <w:rPr>
          <w:rStyle w:val="7"/>
          <w:rFonts w:hint="eastAsia" w:ascii="仿宋" w:hAnsi="仿宋" w:eastAsia="仿宋" w:cs="仿宋"/>
          <w:bCs/>
          <w:color w:val="auto"/>
          <w:w w:val="91"/>
          <w:sz w:val="32"/>
          <w:szCs w:val="32"/>
          <w:u w:val="none"/>
        </w:rPr>
        <w:t>十一、国有资本经营预算财政拨款“三公”经费支出决算情况说明</w:t>
      </w:r>
      <w:r>
        <w:rPr>
          <w:rStyle w:val="7"/>
          <w:rFonts w:hint="eastAsia" w:ascii="仿宋" w:hAnsi="仿宋" w:eastAsia="仿宋" w:cs="仿宋"/>
          <w:bCs/>
          <w:color w:val="auto"/>
          <w:w w:val="91"/>
          <w:sz w:val="32"/>
          <w:szCs w:val="32"/>
          <w:u w:val="none"/>
        </w:rPr>
        <w:fldChar w:fldCharType="end"/>
      </w:r>
    </w:p>
    <w:p>
      <w:pPr>
        <w:pStyle w:val="13"/>
        <w:tabs>
          <w:tab w:val="right" w:leader="dot" w:pos="8306"/>
        </w:tabs>
        <w:ind w:leftChars="0"/>
      </w:pPr>
      <w:r>
        <w:fldChar w:fldCharType="begin"/>
      </w:r>
      <w:r>
        <w:instrText xml:space="preserve"> HYPERLINK \l "_Toc5978_WPSOffice_Level2" </w:instrText>
      </w:r>
      <w:r>
        <w:fldChar w:fldCharType="separate"/>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fldChar w:fldCharType="end"/>
      </w:r>
      <w:r>
        <w:rPr>
          <w:rFonts w:hint="eastAsia" w:ascii="仿宋" w:hAnsi="仿宋" w:eastAsia="仿宋" w:cs="仿宋"/>
          <w:sz w:val="32"/>
          <w:szCs w:val="32"/>
        </w:rPr>
        <w:t>9</w:t>
      </w:r>
    </w:p>
    <w:p>
      <w:pPr>
        <w:pStyle w:val="13"/>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7"/>
          <w:rFonts w:hint="eastAsia" w:ascii="仿宋" w:hAnsi="仿宋" w:eastAsia="仿宋" w:cs="仿宋"/>
          <w:bCs/>
          <w:color w:val="auto"/>
          <w:sz w:val="32"/>
          <w:szCs w:val="32"/>
          <w:u w:val="none"/>
        </w:rPr>
        <w:t>十二、预算绩效情况说明</w:t>
      </w:r>
      <w:r>
        <w:rPr>
          <w:rStyle w:val="7"/>
          <w:rFonts w:hint="eastAsia" w:ascii="仿宋" w:hAnsi="仿宋" w:eastAsia="仿宋" w:cs="仿宋"/>
          <w:color w:val="auto"/>
          <w:sz w:val="32"/>
          <w:szCs w:val="32"/>
          <w:u w:val="none"/>
        </w:rPr>
        <w:tab/>
      </w:r>
      <w:r>
        <w:rPr>
          <w:rStyle w:val="7"/>
          <w:rFonts w:hint="eastAsia" w:ascii="仿宋" w:hAnsi="仿宋" w:eastAsia="仿宋" w:cs="仿宋"/>
          <w:color w:val="auto"/>
          <w:sz w:val="32"/>
          <w:szCs w:val="32"/>
          <w:u w:val="none"/>
        </w:rPr>
        <w:fldChar w:fldCharType="end"/>
      </w:r>
      <w:r>
        <w:rPr>
          <w:rFonts w:hint="eastAsia" w:ascii="仿宋" w:hAnsi="仿宋" w:eastAsia="仿宋" w:cs="仿宋"/>
          <w:sz w:val="32"/>
          <w:szCs w:val="32"/>
        </w:rPr>
        <w:t>9</w:t>
      </w:r>
    </w:p>
    <w:p>
      <w:pPr>
        <w:pStyle w:val="13"/>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12"/>
        <w:tabs>
          <w:tab w:val="right" w:leader="dot" w:pos="8306"/>
        </w:tabs>
        <w:rPr>
          <w:rFonts w:ascii="仿宋" w:hAnsi="仿宋" w:eastAsia="仿宋"/>
          <w:sz w:val="32"/>
          <w:szCs w:val="32"/>
        </w:rPr>
      </w:pPr>
      <w:r>
        <w:fldChar w:fldCharType="begin"/>
      </w:r>
      <w:r>
        <w:instrText xml:space="preserve"> HYPERLINK \l "_Toc15425_WPSOffice_Level1" </w:instrText>
      </w:r>
      <w:r>
        <w:fldChar w:fldCharType="separate"/>
      </w:r>
      <w:r>
        <w:rPr>
          <w:rStyle w:val="7"/>
          <w:rFonts w:hint="eastAsia" w:ascii="仿宋" w:hAnsi="仿宋" w:eastAsia="仿宋"/>
          <w:color w:val="auto"/>
          <w:sz w:val="32"/>
          <w:szCs w:val="32"/>
          <w:u w:val="none"/>
        </w:rPr>
        <w:t>第四部分  名词解释</w:t>
      </w:r>
      <w:r>
        <w:rPr>
          <w:rStyle w:val="7"/>
          <w:rFonts w:hint="eastAsia" w:ascii="仿宋" w:hAnsi="仿宋" w:eastAsia="仿宋"/>
          <w:color w:val="auto"/>
          <w:sz w:val="32"/>
          <w:szCs w:val="32"/>
          <w:u w:val="none"/>
        </w:rPr>
        <w:tab/>
      </w:r>
      <w:bookmarkStart w:id="1" w:name="_Toc15425_WPSOffice_Level1Page"/>
      <w:r>
        <w:rPr>
          <w:rStyle w:val="7"/>
          <w:rFonts w:hint="eastAsia" w:ascii="仿宋" w:hAnsi="仿宋" w:eastAsia="仿宋"/>
          <w:color w:val="auto"/>
          <w:sz w:val="32"/>
          <w:szCs w:val="32"/>
          <w:u w:val="none"/>
        </w:rPr>
        <w:t>1</w:t>
      </w:r>
      <w:bookmarkEnd w:id="1"/>
      <w:r>
        <w:rPr>
          <w:rStyle w:val="7"/>
          <w:rFonts w:hint="eastAsia" w:ascii="仿宋" w:hAnsi="仿宋" w:eastAsia="仿宋"/>
          <w:color w:val="auto"/>
          <w:sz w:val="32"/>
          <w:szCs w:val="32"/>
          <w:u w:val="none"/>
        </w:rPr>
        <w:fldChar w:fldCharType="end"/>
      </w:r>
      <w:r>
        <w:rPr>
          <w:rFonts w:hint="eastAsia" w:ascii="仿宋" w:hAnsi="仿宋" w:eastAsia="仿宋"/>
          <w:sz w:val="32"/>
          <w:szCs w:val="32"/>
        </w:rPr>
        <w:t>1</w:t>
      </w:r>
    </w:p>
    <w:p>
      <w:pPr>
        <w:spacing w:line="560" w:lineRule="exact"/>
        <w:jc w:val="center"/>
        <w:rPr>
          <w:rFonts w:ascii="黑体" w:hAnsi="黑体" w:eastAsia="黑体"/>
          <w:sz w:val="32"/>
          <w:szCs w:val="32"/>
        </w:rPr>
      </w:pPr>
      <w:bookmarkStart w:id="2" w:name="_Toc10049_WPSOffice_Level1"/>
      <w:bookmarkStart w:id="3" w:name="_Toc10720_WPSOffice_Level1"/>
      <w:bookmarkStart w:id="4" w:name="_Toc23465_WPSOffice_Level1"/>
      <w:bookmarkStart w:id="5" w:name="_Toc1704_WPSOffice_Level1"/>
      <w:bookmarkStart w:id="6" w:name="_Toc32433_WPSOffice_Level1"/>
      <w:bookmarkStart w:id="7" w:name="_Toc22941_WPSOffice_Level1"/>
      <w:bookmarkStart w:id="8" w:name="_Toc24238_WPSOffice_Level2"/>
      <w:bookmarkStart w:id="9" w:name="_Toc20205_WPSOffice_Level2"/>
      <w:bookmarkStart w:id="10" w:name="_Toc26580_WPSOffice_Level2"/>
      <w:bookmarkStart w:id="11" w:name="_Toc14159_WPSOffice_Level2"/>
      <w:bookmarkStart w:id="12" w:name="_Toc32622_WPSOffice_Level2"/>
      <w:bookmarkStart w:id="13" w:name="_Toc20274_WPSOffice_Level2"/>
      <w:r>
        <w:rPr>
          <w:rFonts w:hint="eastAsia" w:ascii="黑体" w:hAnsi="黑体" w:eastAsia="黑体"/>
          <w:sz w:val="32"/>
          <w:szCs w:val="32"/>
        </w:rPr>
        <w:t>第一部分 海南省儋州航道所单位概况</w:t>
      </w:r>
      <w:bookmarkEnd w:id="2"/>
      <w:bookmarkEnd w:id="3"/>
      <w:bookmarkEnd w:id="4"/>
      <w:bookmarkEnd w:id="5"/>
      <w:bookmarkEnd w:id="6"/>
      <w:bookmarkEnd w:id="7"/>
    </w:p>
    <w:p>
      <w:pPr>
        <w:spacing w:line="560" w:lineRule="exact"/>
        <w:jc w:val="center"/>
        <w:rPr>
          <w:rFonts w:ascii="黑体" w:hAnsi="黑体" w:eastAsia="黑体"/>
          <w:sz w:val="32"/>
          <w:szCs w:val="32"/>
        </w:rPr>
      </w:pPr>
    </w:p>
    <w:p>
      <w:pPr>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一、</w:t>
      </w:r>
      <w:bookmarkEnd w:id="8"/>
      <w:r>
        <w:rPr>
          <w:rFonts w:hint="eastAsia" w:ascii="仿宋" w:hAnsi="仿宋" w:eastAsia="仿宋" w:cs="黑体"/>
          <w:b/>
          <w:sz w:val="32"/>
          <w:szCs w:val="32"/>
        </w:rPr>
        <w:t>单位职责</w:t>
      </w:r>
      <w:bookmarkEnd w:id="9"/>
      <w:bookmarkEnd w:id="10"/>
      <w:bookmarkEnd w:id="11"/>
      <w:bookmarkEnd w:id="12"/>
      <w:bookmarkEnd w:id="13"/>
    </w:p>
    <w:p>
      <w:pPr>
        <w:spacing w:line="560" w:lineRule="exact"/>
        <w:ind w:firstLine="640" w:firstLineChars="200"/>
        <w:rPr>
          <w:rFonts w:ascii="仿宋" w:hAnsi="仿宋" w:eastAsia="仿宋"/>
          <w:sz w:val="32"/>
          <w:szCs w:val="32"/>
        </w:rPr>
      </w:pPr>
      <w:bookmarkStart w:id="14" w:name="_Toc6572_WPSOffice_Level2"/>
      <w:bookmarkStart w:id="15" w:name="_Toc17796_WPSOffice_Level2"/>
      <w:bookmarkStart w:id="16" w:name="_Toc4833_WPSOffice_Level2"/>
      <w:bookmarkStart w:id="17" w:name="_Toc24474_WPSOffice_Level2"/>
      <w:bookmarkStart w:id="18" w:name="_Toc24059_WPSOffice_Level2"/>
      <w:r>
        <w:rPr>
          <w:rFonts w:hint="eastAsia" w:ascii="仿宋" w:hAnsi="仿宋" w:eastAsia="仿宋"/>
          <w:color w:val="000000"/>
          <w:sz w:val="32"/>
          <w:szCs w:val="32"/>
        </w:rPr>
        <w:t>主要职责</w:t>
      </w:r>
      <w:r>
        <w:rPr>
          <w:rFonts w:hint="eastAsia" w:ascii="仿宋" w:hAnsi="仿宋" w:eastAsia="仿宋"/>
          <w:sz w:val="32"/>
          <w:szCs w:val="32"/>
        </w:rPr>
        <w:t>是：</w:t>
      </w:r>
      <w:r>
        <w:rPr>
          <w:rFonts w:hint="eastAsia" w:ascii="仿宋" w:hAnsi="仿宋" w:eastAsia="仿宋"/>
          <w:color w:val="000000"/>
          <w:sz w:val="32"/>
          <w:szCs w:val="32"/>
        </w:rPr>
        <w:t>根据法律法规规定和授权，负责管辖航道养护开发及航标维修管理</w:t>
      </w:r>
      <w:r>
        <w:rPr>
          <w:rFonts w:hint="eastAsia" w:ascii="仿宋" w:hAnsi="仿宋" w:eastAsia="仿宋"/>
          <w:sz w:val="32"/>
          <w:szCs w:val="32"/>
        </w:rPr>
        <w:t>而设立的机构。目前管理洋浦湾和邻近地区（儋州、白沙）航道 ，管辖航道全长共161.76km(沿海航道16.06km)；负责管理养护航标29座，其中灯桩12座（排浦灯桩1座、神尖角灯桩1座、洋浦航道灯桩7座、新英港灯桩3座），洋浦航道前后导标4座，洋浦航道灯浮标9座，白马井港浮标4座。</w:t>
      </w:r>
    </w:p>
    <w:p>
      <w:pPr>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二、机构设置</w:t>
      </w:r>
      <w:bookmarkEnd w:id="14"/>
      <w:bookmarkEnd w:id="15"/>
      <w:bookmarkEnd w:id="16"/>
      <w:bookmarkEnd w:id="17"/>
      <w:bookmarkEnd w:id="18"/>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本单位成立于1995年1月份（琼编办[1995]2号、[2002]119号、文件），</w:t>
      </w:r>
      <w:r>
        <w:rPr>
          <w:rFonts w:hint="eastAsia" w:ascii="仿宋" w:hAnsi="仿宋" w:eastAsia="仿宋"/>
          <w:color w:val="000000"/>
          <w:sz w:val="32"/>
          <w:szCs w:val="32"/>
        </w:rPr>
        <w:t>琼编办【2016】224号，海南省机构编制委员会办公室关于省交通运输厅所属事业单位机构编制调整和分类的通知，正科级，隶属海南省港航管理局，单位性质为公益一类事业单位，在编人员7人，</w:t>
      </w:r>
      <w:r>
        <w:rPr>
          <w:rFonts w:hint="eastAsia" w:ascii="仿宋" w:hAnsi="仿宋" w:eastAsia="仿宋"/>
          <w:sz w:val="32"/>
          <w:szCs w:val="32"/>
        </w:rPr>
        <w:t>内设航道航标室、财务室、办公室。</w:t>
      </w:r>
    </w:p>
    <w:p>
      <w:pPr>
        <w:spacing w:line="560" w:lineRule="exact"/>
        <w:ind w:firstLine="640" w:firstLineChars="200"/>
        <w:rPr>
          <w:rFonts w:ascii="仿宋" w:hAnsi="仿宋" w:eastAsia="仿宋"/>
          <w:color w:val="000000"/>
          <w:sz w:val="32"/>
          <w:szCs w:val="32"/>
        </w:rPr>
      </w:pPr>
    </w:p>
    <w:p>
      <w:pPr>
        <w:spacing w:line="560" w:lineRule="exact"/>
        <w:jc w:val="center"/>
        <w:rPr>
          <w:rFonts w:ascii="黑体" w:hAnsi="黑体" w:eastAsia="黑体"/>
          <w:b/>
          <w:sz w:val="32"/>
          <w:szCs w:val="32"/>
        </w:rPr>
      </w:pPr>
      <w:bookmarkStart w:id="19" w:name="_Toc29683_WPSOffice_Level1"/>
      <w:bookmarkStart w:id="20" w:name="_Toc31264_WPSOffice_Level1"/>
      <w:bookmarkStart w:id="21" w:name="_Toc16686_WPSOffice_Level1"/>
      <w:bookmarkStart w:id="22" w:name="_Toc27590_WPSOffice_Level1"/>
      <w:bookmarkStart w:id="23" w:name="_Toc4402_WPSOffice_Level1"/>
      <w:bookmarkStart w:id="24" w:name="_Toc28629_WPSOffice_Level1"/>
      <w:r>
        <w:rPr>
          <w:rFonts w:hint="eastAsia" w:ascii="黑体" w:hAnsi="黑体" w:eastAsia="黑体"/>
          <w:b/>
          <w:sz w:val="32"/>
          <w:szCs w:val="32"/>
        </w:rPr>
        <w:t>第二部分  海南省儋州航道所2020年度部门决算公开报表</w:t>
      </w:r>
    </w:p>
    <w:p>
      <w:pPr>
        <w:spacing w:line="560" w:lineRule="exact"/>
        <w:jc w:val="center"/>
        <w:rPr>
          <w:rFonts w:ascii="黑体" w:hAnsi="黑体" w:eastAsia="黑体"/>
          <w:b/>
          <w:sz w:val="32"/>
          <w:szCs w:val="32"/>
        </w:rPr>
      </w:pPr>
    </w:p>
    <w:p>
      <w:pPr>
        <w:spacing w:line="560" w:lineRule="exact"/>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p>
    <w:p>
      <w:pPr>
        <w:spacing w:line="560" w:lineRule="exact"/>
        <w:ind w:firstLine="645"/>
        <w:rPr>
          <w:rFonts w:ascii="仿宋" w:hAnsi="仿宋" w:eastAsia="仿宋" w:cs="黑体"/>
          <w:sz w:val="32"/>
          <w:szCs w:val="32"/>
        </w:rPr>
      </w:pPr>
      <w:bookmarkStart w:id="25" w:name="_Toc23139_WPSOffice_Level2"/>
      <w:bookmarkStart w:id="26" w:name="_Toc26621_WPSOffice_Level2"/>
      <w:bookmarkStart w:id="27" w:name="_Toc25608_WPSOffice_Level2"/>
      <w:bookmarkStart w:id="28" w:name="_Toc28622_WPSOffice_Level2"/>
      <w:bookmarkStart w:id="29" w:name="_Toc14349_WPSOffice_Level2"/>
      <w:bookmarkStart w:id="30" w:name="_Toc30334_WPSOffice_Level2"/>
      <w:r>
        <w:rPr>
          <w:rFonts w:hint="eastAsia" w:ascii="仿宋" w:hAnsi="仿宋" w:eastAsia="仿宋" w:cs="黑体"/>
          <w:sz w:val="32"/>
          <w:szCs w:val="32"/>
        </w:rPr>
        <w:t>二、收入决算公开表（见正文附件）</w:t>
      </w:r>
      <w:bookmarkEnd w:id="25"/>
      <w:bookmarkEnd w:id="26"/>
      <w:bookmarkEnd w:id="27"/>
      <w:r>
        <w:rPr>
          <w:rFonts w:hint="eastAsia" w:ascii="仿宋" w:hAnsi="仿宋" w:eastAsia="仿宋" w:cs="黑体"/>
          <w:sz w:val="32"/>
          <w:szCs w:val="32"/>
        </w:rPr>
        <w:t>。</w:t>
      </w:r>
      <w:bookmarkEnd w:id="28"/>
      <w:bookmarkEnd w:id="29"/>
      <w:bookmarkEnd w:id="30"/>
    </w:p>
    <w:p>
      <w:pPr>
        <w:spacing w:line="560" w:lineRule="exact"/>
        <w:ind w:firstLine="645"/>
        <w:rPr>
          <w:rFonts w:ascii="仿宋" w:hAnsi="仿宋" w:eastAsia="仿宋" w:cs="黑体"/>
          <w:sz w:val="32"/>
          <w:szCs w:val="32"/>
        </w:rPr>
      </w:pPr>
      <w:bookmarkStart w:id="31" w:name="_Toc17858_WPSOffice_Level2"/>
      <w:bookmarkStart w:id="32" w:name="_Toc3262_WPSOffice_Level2"/>
      <w:bookmarkStart w:id="33" w:name="_Toc17626_WPSOffice_Level2"/>
      <w:bookmarkStart w:id="34" w:name="_Toc13854_WPSOffice_Level2"/>
      <w:bookmarkStart w:id="35" w:name="_Toc14658_WPSOffice_Level2"/>
      <w:bookmarkStart w:id="36" w:name="_Toc5489_WPSOffice_Level2"/>
      <w:r>
        <w:rPr>
          <w:rFonts w:hint="eastAsia" w:ascii="仿宋" w:hAnsi="仿宋" w:eastAsia="仿宋" w:cs="黑体"/>
          <w:sz w:val="32"/>
          <w:szCs w:val="32"/>
        </w:rPr>
        <w:t>三、支出决算公开表（见正文附件）</w:t>
      </w:r>
      <w:bookmarkEnd w:id="31"/>
      <w:bookmarkEnd w:id="32"/>
      <w:bookmarkEnd w:id="33"/>
      <w:r>
        <w:rPr>
          <w:rFonts w:hint="eastAsia" w:ascii="仿宋" w:hAnsi="仿宋" w:eastAsia="仿宋" w:cs="黑体"/>
          <w:sz w:val="32"/>
          <w:szCs w:val="32"/>
        </w:rPr>
        <w:t>。</w:t>
      </w:r>
      <w:bookmarkEnd w:id="34"/>
      <w:bookmarkEnd w:id="35"/>
      <w:bookmarkEnd w:id="36"/>
    </w:p>
    <w:p>
      <w:pPr>
        <w:spacing w:line="560" w:lineRule="exact"/>
        <w:ind w:firstLine="645"/>
        <w:rPr>
          <w:rFonts w:ascii="仿宋" w:hAnsi="仿宋" w:eastAsia="仿宋" w:cs="黑体"/>
          <w:sz w:val="32"/>
          <w:szCs w:val="32"/>
        </w:rPr>
      </w:pPr>
      <w:bookmarkStart w:id="37" w:name="_Toc13701_WPSOffice_Level2"/>
      <w:bookmarkStart w:id="38" w:name="_Toc21415_WPSOffice_Level2"/>
      <w:bookmarkStart w:id="39" w:name="_Toc23591_WPSOffice_Level2"/>
      <w:bookmarkStart w:id="40" w:name="_Toc7988_WPSOffice_Level2"/>
      <w:bookmarkStart w:id="41" w:name="_Toc4265_WPSOffice_Level2"/>
      <w:bookmarkStart w:id="42" w:name="_Toc23493_WPSOffice_Level2"/>
      <w:r>
        <w:rPr>
          <w:rFonts w:hint="eastAsia" w:ascii="仿宋" w:hAnsi="仿宋" w:eastAsia="仿宋" w:cs="黑体"/>
          <w:sz w:val="32"/>
          <w:szCs w:val="32"/>
        </w:rPr>
        <w:t>四、财政拨款收入支出决算公开表（见正文附件）</w:t>
      </w:r>
      <w:bookmarkEnd w:id="37"/>
      <w:bookmarkEnd w:id="38"/>
      <w:bookmarkEnd w:id="39"/>
      <w:r>
        <w:rPr>
          <w:rFonts w:hint="eastAsia" w:ascii="仿宋" w:hAnsi="仿宋" w:eastAsia="仿宋" w:cs="黑体"/>
          <w:sz w:val="32"/>
          <w:szCs w:val="32"/>
        </w:rPr>
        <w:t>。</w:t>
      </w:r>
      <w:bookmarkEnd w:id="40"/>
      <w:bookmarkEnd w:id="41"/>
      <w:bookmarkEnd w:id="42"/>
    </w:p>
    <w:p>
      <w:pPr>
        <w:spacing w:line="560" w:lineRule="exact"/>
        <w:ind w:firstLine="645"/>
        <w:rPr>
          <w:rFonts w:ascii="仿宋" w:hAnsi="仿宋" w:eastAsia="仿宋" w:cs="黑体"/>
          <w:sz w:val="32"/>
          <w:szCs w:val="32"/>
        </w:rPr>
      </w:pPr>
      <w:bookmarkStart w:id="43" w:name="_Toc7879_WPSOffice_Level2"/>
      <w:bookmarkStart w:id="44" w:name="_Toc23829_WPSOffice_Level2"/>
      <w:bookmarkStart w:id="45" w:name="_Toc22783_WPSOffice_Level2"/>
      <w:bookmarkStart w:id="46" w:name="_Toc25166_WPSOffice_Level2"/>
      <w:bookmarkStart w:id="47" w:name="_Toc13516_WPSOffice_Level2"/>
      <w:bookmarkStart w:id="48" w:name="_Toc2158_WPSOffice_Level2"/>
      <w:r>
        <w:rPr>
          <w:rFonts w:hint="eastAsia" w:ascii="仿宋" w:hAnsi="仿宋" w:eastAsia="仿宋" w:cs="黑体"/>
          <w:sz w:val="32"/>
          <w:szCs w:val="32"/>
        </w:rPr>
        <w:t>五、一般公共预算财政拨款收入支出决算</w:t>
      </w:r>
      <w:bookmarkEnd w:id="43"/>
      <w:bookmarkEnd w:id="44"/>
      <w:bookmarkEnd w:id="45"/>
      <w:bookmarkEnd w:id="46"/>
      <w:r>
        <w:rPr>
          <w:rFonts w:hint="eastAsia" w:ascii="仿宋" w:hAnsi="仿宋" w:eastAsia="仿宋" w:cs="黑体"/>
          <w:sz w:val="32"/>
          <w:szCs w:val="32"/>
        </w:rPr>
        <w:t>公开表</w:t>
      </w:r>
    </w:p>
    <w:p>
      <w:pPr>
        <w:spacing w:line="560" w:lineRule="exact"/>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47"/>
      <w:bookmarkEnd w:id="48"/>
      <w:r>
        <w:rPr>
          <w:rFonts w:hint="eastAsia" w:ascii="仿宋" w:hAnsi="仿宋" w:eastAsia="仿宋" w:cs="黑体"/>
          <w:sz w:val="32"/>
          <w:szCs w:val="32"/>
        </w:rPr>
        <w:t>。</w:t>
      </w:r>
    </w:p>
    <w:p>
      <w:pPr>
        <w:spacing w:line="560" w:lineRule="exact"/>
        <w:ind w:firstLine="645"/>
        <w:rPr>
          <w:rFonts w:ascii="仿宋" w:hAnsi="仿宋" w:eastAsia="仿宋" w:cs="黑体"/>
          <w:sz w:val="32"/>
          <w:szCs w:val="32"/>
        </w:rPr>
      </w:pPr>
      <w:bookmarkStart w:id="49" w:name="_Toc8373_WPSOffice_Level2"/>
      <w:bookmarkStart w:id="50" w:name="_Toc5343_WPSOffice_Level2"/>
      <w:bookmarkStart w:id="51" w:name="_Toc17283_WPSOffice_Level2"/>
      <w:bookmarkStart w:id="52" w:name="_Toc25362_WPSOffice_Level2"/>
      <w:bookmarkStart w:id="53" w:name="_Toc17833_WPSOffice_Level2"/>
      <w:bookmarkStart w:id="54" w:name="_Toc2632_WPSOffice_Level2"/>
      <w:r>
        <w:rPr>
          <w:rFonts w:hint="eastAsia" w:ascii="仿宋" w:hAnsi="仿宋" w:eastAsia="仿宋" w:cs="黑体"/>
          <w:sz w:val="32"/>
          <w:szCs w:val="32"/>
        </w:rPr>
        <w:t>六、一般公共预算财政拨款基本支出决算</w:t>
      </w:r>
      <w:bookmarkEnd w:id="49"/>
      <w:bookmarkEnd w:id="50"/>
      <w:bookmarkEnd w:id="51"/>
      <w:bookmarkEnd w:id="52"/>
      <w:bookmarkEnd w:id="53"/>
      <w:bookmarkEnd w:id="54"/>
      <w:r>
        <w:rPr>
          <w:rFonts w:hint="eastAsia" w:ascii="仿宋" w:hAnsi="仿宋" w:eastAsia="仿宋" w:cs="黑体"/>
          <w:sz w:val="32"/>
          <w:szCs w:val="32"/>
        </w:rPr>
        <w:t>公开表</w:t>
      </w:r>
    </w:p>
    <w:p>
      <w:pPr>
        <w:spacing w:line="560" w:lineRule="exact"/>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spacing w:line="560" w:lineRule="exact"/>
        <w:ind w:left="1210" w:leftChars="304" w:hanging="480" w:hangingChars="150"/>
        <w:rPr>
          <w:rFonts w:ascii="仿宋" w:hAnsi="仿宋" w:eastAsia="仿宋" w:cs="黑体"/>
          <w:sz w:val="32"/>
          <w:szCs w:val="32"/>
        </w:rPr>
      </w:pPr>
      <w:bookmarkStart w:id="55" w:name="_Toc6020_WPSOffice_Level2"/>
      <w:bookmarkStart w:id="56" w:name="_Toc13345_WPSOffice_Level2"/>
      <w:bookmarkStart w:id="57" w:name="_Toc11799_WPSOffice_Level2"/>
      <w:bookmarkStart w:id="58" w:name="_Toc21310_WPSOffice_Level2"/>
      <w:bookmarkStart w:id="59" w:name="_Toc1533_WPSOffice_Level2"/>
      <w:bookmarkStart w:id="60" w:name="_Toc5594_WPSOffice_Level2"/>
      <w:r>
        <w:rPr>
          <w:rFonts w:hint="eastAsia" w:ascii="仿宋" w:hAnsi="仿宋" w:eastAsia="仿宋" w:cs="黑体"/>
          <w:sz w:val="32"/>
          <w:szCs w:val="32"/>
        </w:rPr>
        <w:t>七、政府性基金预算财政拨款收入支出决算</w:t>
      </w:r>
      <w:bookmarkEnd w:id="55"/>
      <w:bookmarkEnd w:id="56"/>
      <w:bookmarkEnd w:id="57"/>
      <w:bookmarkEnd w:id="58"/>
      <w:bookmarkEnd w:id="59"/>
      <w:bookmarkEnd w:id="60"/>
      <w:r>
        <w:rPr>
          <w:rFonts w:hint="eastAsia" w:ascii="仿宋" w:hAnsi="仿宋" w:eastAsia="仿宋" w:cs="黑体"/>
          <w:sz w:val="32"/>
          <w:szCs w:val="32"/>
        </w:rPr>
        <w:t>公开表</w:t>
      </w:r>
    </w:p>
    <w:p>
      <w:pPr>
        <w:spacing w:line="560" w:lineRule="exact"/>
        <w:ind w:left="1459"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spacing w:line="560" w:lineRule="exact"/>
        <w:ind w:left="1210" w:leftChars="304" w:hanging="480" w:hangingChars="150"/>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spacing w:line="560" w:lineRule="exact"/>
        <w:ind w:left="1459"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spacing w:line="560" w:lineRule="exact"/>
        <w:rPr>
          <w:rFonts w:ascii="仿宋" w:hAnsi="仿宋" w:eastAsia="仿宋" w:cs="黑体"/>
          <w:sz w:val="32"/>
          <w:szCs w:val="32"/>
        </w:rPr>
      </w:pPr>
      <w:bookmarkStart w:id="61" w:name="_Toc19961_WPSOffice_Level2"/>
      <w:bookmarkStart w:id="62" w:name="_Toc9377_WPSOffice_Level2"/>
      <w:bookmarkStart w:id="63" w:name="_Toc29886_WPSOffice_Level2"/>
      <w:bookmarkStart w:id="64" w:name="_Toc1820_WPSOffice_Level2"/>
      <w:r>
        <w:rPr>
          <w:rFonts w:hint="eastAsia" w:ascii="仿宋" w:hAnsi="仿宋" w:eastAsia="仿宋" w:cs="黑体"/>
          <w:sz w:val="32"/>
          <w:szCs w:val="32"/>
        </w:rPr>
        <w:t xml:space="preserve">     九、一般公共预算财政拨款“三公”经费支出决算</w:t>
      </w:r>
    </w:p>
    <w:p>
      <w:pPr>
        <w:spacing w:line="560" w:lineRule="exact"/>
        <w:rPr>
          <w:rFonts w:ascii="仿宋" w:hAnsi="仿宋" w:eastAsia="仿宋" w:cs="黑体"/>
          <w:sz w:val="32"/>
          <w:szCs w:val="32"/>
        </w:rPr>
      </w:pPr>
      <w:r>
        <w:rPr>
          <w:rFonts w:hint="eastAsia" w:ascii="仿宋" w:hAnsi="仿宋" w:eastAsia="仿宋" w:cs="黑体"/>
          <w:sz w:val="32"/>
          <w:szCs w:val="32"/>
        </w:rPr>
        <w:t xml:space="preserve">         </w:t>
      </w:r>
      <w:bookmarkEnd w:id="61"/>
      <w:bookmarkEnd w:id="62"/>
      <w:bookmarkEnd w:id="63"/>
      <w:bookmarkEnd w:id="64"/>
      <w:r>
        <w:rPr>
          <w:rFonts w:hint="eastAsia" w:ascii="仿宋" w:hAnsi="仿宋" w:eastAsia="仿宋" w:cs="黑体"/>
          <w:sz w:val="32"/>
          <w:szCs w:val="32"/>
        </w:rPr>
        <w:t>公开表（见正文附件）。</w:t>
      </w:r>
    </w:p>
    <w:p>
      <w:pPr>
        <w:spacing w:line="560" w:lineRule="exact"/>
        <w:rPr>
          <w:rFonts w:ascii="仿宋" w:hAnsi="仿宋" w:eastAsia="仿宋" w:cs="黑体"/>
          <w:w w:val="96"/>
          <w:sz w:val="32"/>
          <w:szCs w:val="32"/>
        </w:rPr>
      </w:pPr>
      <w:r>
        <w:rPr>
          <w:rFonts w:hint="eastAsia" w:ascii="仿宋" w:hAnsi="仿宋" w:eastAsia="仿宋" w:cs="黑体"/>
          <w:w w:val="96"/>
          <w:sz w:val="32"/>
          <w:szCs w:val="32"/>
        </w:rPr>
        <w:t xml:space="preserve">     十、政府性基金预算财政拨款“三公”经费支出决算</w:t>
      </w:r>
    </w:p>
    <w:p>
      <w:pPr>
        <w:spacing w:line="560" w:lineRule="exact"/>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spacing w:line="560" w:lineRule="exact"/>
        <w:ind w:left="1494" w:hanging="1504" w:hangingChars="490"/>
        <w:rPr>
          <w:rFonts w:ascii="仿宋" w:hAnsi="仿宋" w:eastAsia="仿宋" w:cs="黑体"/>
          <w:w w:val="96"/>
          <w:sz w:val="32"/>
          <w:szCs w:val="32"/>
        </w:rPr>
      </w:pPr>
      <w:r>
        <w:rPr>
          <w:rFonts w:hint="eastAsia" w:ascii="仿宋" w:hAnsi="仿宋" w:eastAsia="仿宋" w:cs="黑体"/>
          <w:w w:val="96"/>
          <w:sz w:val="32"/>
          <w:szCs w:val="32"/>
        </w:rPr>
        <w:t xml:space="preserve">     十一、国有资本经营预算财政拨款“三公”经费支出决算公开表</w:t>
      </w:r>
      <w:r>
        <w:rPr>
          <w:rFonts w:hint="eastAsia" w:ascii="仿宋" w:hAnsi="仿宋" w:eastAsia="仿宋" w:cs="黑体"/>
          <w:sz w:val="32"/>
          <w:szCs w:val="32"/>
        </w:rPr>
        <w:t>（见正文附件）。</w:t>
      </w:r>
    </w:p>
    <w:p>
      <w:pPr>
        <w:spacing w:line="560" w:lineRule="exact"/>
        <w:rPr>
          <w:rFonts w:ascii="仿宋" w:hAnsi="仿宋" w:eastAsia="仿宋" w:cs="黑体"/>
          <w:b/>
          <w:sz w:val="32"/>
          <w:szCs w:val="32"/>
        </w:rPr>
      </w:pPr>
    </w:p>
    <w:p>
      <w:pPr>
        <w:spacing w:line="560" w:lineRule="exact"/>
        <w:jc w:val="center"/>
        <w:rPr>
          <w:rFonts w:ascii="黑体" w:hAnsi="黑体" w:eastAsia="黑体"/>
          <w:b/>
          <w:sz w:val="32"/>
          <w:szCs w:val="32"/>
        </w:rPr>
      </w:pPr>
      <w:r>
        <w:rPr>
          <w:rFonts w:hint="eastAsia" w:ascii="黑体" w:hAnsi="黑体" w:eastAsia="黑体"/>
          <w:b/>
          <w:sz w:val="32"/>
          <w:szCs w:val="32"/>
        </w:rPr>
        <w:t>第三部分  儋州航道所2020年度单位决算情况说明</w:t>
      </w:r>
      <w:bookmarkEnd w:id="19"/>
      <w:bookmarkEnd w:id="20"/>
      <w:bookmarkEnd w:id="21"/>
      <w:bookmarkEnd w:id="22"/>
      <w:bookmarkEnd w:id="23"/>
      <w:bookmarkEnd w:id="24"/>
    </w:p>
    <w:p>
      <w:pPr>
        <w:spacing w:line="560" w:lineRule="exact"/>
        <w:jc w:val="center"/>
        <w:rPr>
          <w:rFonts w:ascii="黑体" w:hAnsi="黑体" w:eastAsia="黑体"/>
          <w:b/>
          <w:sz w:val="32"/>
          <w:szCs w:val="32"/>
        </w:rPr>
      </w:pPr>
    </w:p>
    <w:p>
      <w:pPr>
        <w:snapToGrid w:val="0"/>
        <w:spacing w:line="500" w:lineRule="exact"/>
        <w:ind w:firstLine="643" w:firstLineChars="200"/>
        <w:rPr>
          <w:rFonts w:ascii="仿宋" w:hAnsi="仿宋" w:eastAsia="仿宋"/>
          <w:color w:val="000000"/>
          <w:sz w:val="32"/>
          <w:szCs w:val="32"/>
        </w:rPr>
      </w:pPr>
      <w:r>
        <w:rPr>
          <w:rFonts w:hint="eastAsia" w:ascii="仿宋" w:hAnsi="仿宋" w:eastAsia="仿宋" w:cs="黑体"/>
          <w:b/>
          <w:bCs/>
          <w:sz w:val="32"/>
          <w:szCs w:val="32"/>
        </w:rPr>
        <w:t>一、收入支出决算总体情况说明</w:t>
      </w:r>
      <w:r>
        <w:rPr>
          <w:rFonts w:hint="eastAsia" w:ascii="仿宋" w:hAnsi="仿宋" w:eastAsia="仿宋" w:cs="黑体"/>
          <w:b/>
          <w:bCs/>
          <w:sz w:val="32"/>
          <w:szCs w:val="32"/>
        </w:rPr>
        <w:br w:type="textWrapping"/>
      </w:r>
      <w:r>
        <w:rPr>
          <w:rFonts w:hint="eastAsia" w:ascii="仿宋" w:hAnsi="仿宋" w:eastAsia="仿宋"/>
          <w:sz w:val="32"/>
          <w:szCs w:val="32"/>
        </w:rPr>
        <w:t xml:space="preserve">    2020年度收、支总计270.64万元，与2019年度279.2万元相比，收入、支出总计减少8.56万元，下降3.16%。主要原因：项目预算经费中的专用材料费比上年度减少。使用非财政拨款结余0万元，与2019年度决算数持平。年初结转结余0万元，与2019年度决算数持平。结余分配0万元，与2019年度决算数持平。年末结转结余0万元，与2019年度决算数持平。</w:t>
      </w:r>
    </w:p>
    <w:p>
      <w:pPr>
        <w:spacing w:line="560" w:lineRule="exact"/>
        <w:ind w:firstLine="643" w:firstLineChars="200"/>
        <w:rPr>
          <w:rFonts w:ascii="仿宋" w:hAnsi="仿宋" w:eastAsia="仿宋"/>
          <w:sz w:val="32"/>
          <w:szCs w:val="32"/>
        </w:rPr>
      </w:pPr>
      <w:r>
        <w:rPr>
          <w:rFonts w:hint="eastAsia" w:ascii="仿宋" w:hAnsi="仿宋" w:eastAsia="仿宋" w:cs="黑体"/>
          <w:b/>
          <w:bCs/>
          <w:sz w:val="32"/>
          <w:szCs w:val="32"/>
        </w:rPr>
        <w:t>二、收入决算情况说明</w:t>
      </w:r>
      <w:r>
        <w:rPr>
          <w:rFonts w:hint="eastAsia" w:ascii="仿宋" w:hAnsi="仿宋" w:eastAsia="仿宋" w:cs="黑体"/>
          <w:b/>
          <w:bCs/>
          <w:sz w:val="32"/>
          <w:szCs w:val="32"/>
        </w:rPr>
        <w:br w:type="textWrapping"/>
      </w:r>
      <w:r>
        <w:rPr>
          <w:rFonts w:hint="eastAsia" w:ascii="仿宋" w:hAnsi="仿宋" w:eastAsia="仿宋"/>
          <w:sz w:val="32"/>
          <w:szCs w:val="32"/>
        </w:rPr>
        <w:t xml:space="preserve">    本年收入合计270.64万元，其中：财政拨款收入270.04万元，占99.78%；上级补助收入0 万元，占0%；事业收入0万元，占0%；经营收入0万元，占0%；附属单位上缴收入0万元，占0%；其他收入0.60万元，占0.22%。</w:t>
      </w:r>
    </w:p>
    <w:p>
      <w:pPr>
        <w:spacing w:line="560" w:lineRule="exact"/>
        <w:ind w:firstLine="630" w:firstLineChars="196"/>
        <w:rPr>
          <w:rFonts w:ascii="仿宋" w:hAnsi="仿宋" w:eastAsia="仿宋" w:cs="黑体"/>
          <w:b/>
          <w:bCs/>
          <w:sz w:val="32"/>
          <w:szCs w:val="32"/>
        </w:rPr>
      </w:pPr>
      <w:r>
        <w:rPr>
          <w:rFonts w:hint="eastAsia" w:ascii="仿宋" w:hAnsi="仿宋" w:eastAsia="仿宋" w:cs="黑体"/>
          <w:b/>
          <w:bCs/>
          <w:sz w:val="32"/>
          <w:szCs w:val="32"/>
        </w:rPr>
        <w:t>三、支出决算情况说明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本年支出合计270.64万元，其中：基本支出137.24万元，占50.71%；项目支出133.40万元，占49.29%；上缴上级支出0万元，占0%；经营支出0万元，占0%；对附属单位补助支出0万元，占0%。</w:t>
      </w:r>
    </w:p>
    <w:p>
      <w:pPr>
        <w:spacing w:line="560" w:lineRule="exact"/>
        <w:ind w:firstLine="630" w:firstLineChars="196"/>
        <w:rPr>
          <w:rFonts w:ascii="仿宋" w:hAnsi="仿宋" w:eastAsia="仿宋" w:cs="黑体"/>
          <w:b/>
          <w:bCs/>
          <w:sz w:val="32"/>
          <w:szCs w:val="32"/>
        </w:rPr>
      </w:pPr>
      <w:r>
        <w:rPr>
          <w:rFonts w:hint="eastAsia" w:ascii="仿宋" w:hAnsi="仿宋" w:eastAsia="仿宋" w:cs="黑体"/>
          <w:b/>
          <w:bCs/>
          <w:sz w:val="32"/>
          <w:szCs w:val="32"/>
        </w:rPr>
        <w:t>四、财政拨款收入支出决算总体情况说明</w:t>
      </w:r>
    </w:p>
    <w:p>
      <w:pPr>
        <w:ind w:firstLine="640" w:firstLineChars="200"/>
        <w:rPr>
          <w:rFonts w:ascii="仿宋" w:hAnsi="仿宋" w:eastAsia="仿宋"/>
          <w:sz w:val="32"/>
          <w:szCs w:val="32"/>
        </w:rPr>
      </w:pPr>
      <w:r>
        <w:rPr>
          <w:rFonts w:hint="eastAsia" w:ascii="仿宋" w:hAnsi="仿宋" w:eastAsia="仿宋"/>
          <w:sz w:val="32"/>
          <w:szCs w:val="32"/>
        </w:rPr>
        <w:t>2020年度财政拨款收入、支出总计270.04万元。与2019年度相比，财政拨款收入、支出总计各减少9.16万元，下降3.39%。主要原因：项目预算经费中的专用材料费比上年度减少。财政拨款年初结转结余0万元，与2019年度决算数持平。财政拨款年末结转结余0万元，与2019年度决算数持平。</w:t>
      </w:r>
    </w:p>
    <w:p>
      <w:pPr>
        <w:spacing w:line="560" w:lineRule="exact"/>
        <w:ind w:firstLine="643" w:firstLineChars="200"/>
        <w:rPr>
          <w:rFonts w:ascii="仿宋" w:hAnsi="仿宋" w:eastAsia="仿宋" w:cs="黑体"/>
          <w:b/>
          <w:bCs/>
          <w:sz w:val="32"/>
          <w:szCs w:val="32"/>
        </w:rPr>
      </w:pPr>
      <w:r>
        <w:rPr>
          <w:rFonts w:hint="eastAsia" w:ascii="仿宋" w:hAnsi="仿宋" w:eastAsia="仿宋" w:cs="黑体"/>
          <w:b/>
          <w:bCs/>
          <w:sz w:val="32"/>
          <w:szCs w:val="32"/>
        </w:rPr>
        <w:t>五、一般公共预算财政拨款支出决算情况说明</w:t>
      </w:r>
    </w:p>
    <w:p>
      <w:pPr>
        <w:spacing w:line="560" w:lineRule="exact"/>
        <w:ind w:firstLine="643" w:firstLineChars="200"/>
        <w:rPr>
          <w:rFonts w:ascii="楷体" w:hAnsi="楷体" w:eastAsia="楷体" w:cs="楷体"/>
          <w:b/>
          <w:sz w:val="32"/>
          <w:szCs w:val="32"/>
        </w:rPr>
      </w:pPr>
      <w:bookmarkStart w:id="65" w:name="_Toc13694_WPSOffice_Level2"/>
      <w:bookmarkStart w:id="66" w:name="_Toc17398_WPSOffice_Level2"/>
      <w:bookmarkStart w:id="67" w:name="_Toc9989_WPSOffice_Level2"/>
      <w:bookmarkStart w:id="68" w:name="_Toc23005_WPSOffice_Level2"/>
      <w:bookmarkStart w:id="69" w:name="_Toc21737_WPSOffice_Level2"/>
      <w:bookmarkStart w:id="70" w:name="_Toc19665_WPSOffice_Level2"/>
      <w:r>
        <w:rPr>
          <w:rFonts w:hint="eastAsia" w:ascii="楷体" w:hAnsi="楷体" w:eastAsia="楷体" w:cs="楷体"/>
          <w:b/>
          <w:sz w:val="32"/>
          <w:szCs w:val="32"/>
        </w:rPr>
        <w:t>（一）一般公共预算财政拨款支出决算总体情况</w:t>
      </w:r>
      <w:bookmarkEnd w:id="65"/>
      <w:bookmarkEnd w:id="66"/>
      <w:r>
        <w:rPr>
          <w:rFonts w:hint="eastAsia" w:ascii="楷体" w:hAnsi="楷体" w:eastAsia="楷体" w:cs="楷体"/>
          <w:b/>
          <w:sz w:val="32"/>
          <w:szCs w:val="32"/>
        </w:rPr>
        <w:t>。</w:t>
      </w:r>
      <w:bookmarkEnd w:id="67"/>
      <w:bookmarkEnd w:id="68"/>
      <w:bookmarkEnd w:id="69"/>
      <w:bookmarkEnd w:id="70"/>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2020年度一般公共预算财政拨款支出270.04万元，占本年支出合计的99.78%。与2019年度279.2万元相比，一般公共预算财政拨款支出减少9.16万元，下降3.28%，主要原因是项目预算经费中的专用材料费比上年度减少。</w:t>
      </w:r>
    </w:p>
    <w:p>
      <w:pPr>
        <w:spacing w:line="560" w:lineRule="exact"/>
        <w:ind w:firstLine="643" w:firstLineChars="200"/>
        <w:rPr>
          <w:rFonts w:ascii="楷体" w:hAnsi="楷体" w:eastAsia="楷体" w:cs="楷体"/>
          <w:b/>
          <w:sz w:val="32"/>
          <w:szCs w:val="32"/>
        </w:rPr>
      </w:pPr>
      <w:bookmarkStart w:id="71" w:name="_Toc2711_WPSOffice_Level2"/>
      <w:bookmarkStart w:id="72" w:name="_Toc18793_WPSOffice_Level2"/>
      <w:bookmarkStart w:id="73" w:name="_Toc23864_WPSOffice_Level2"/>
      <w:bookmarkStart w:id="74" w:name="_Toc19075_WPSOffice_Level2"/>
      <w:bookmarkStart w:id="75" w:name="_Toc19535_WPSOffice_Level2"/>
      <w:bookmarkStart w:id="76" w:name="_Toc27767_WPSOffice_Level2"/>
      <w:r>
        <w:rPr>
          <w:rFonts w:hint="eastAsia" w:ascii="楷体" w:hAnsi="楷体" w:eastAsia="楷体" w:cs="楷体"/>
          <w:b/>
          <w:sz w:val="32"/>
          <w:szCs w:val="32"/>
        </w:rPr>
        <w:t>（二）一般公共预算财政拨款支出决算结构情况</w:t>
      </w:r>
      <w:bookmarkEnd w:id="71"/>
      <w:bookmarkEnd w:id="72"/>
      <w:r>
        <w:rPr>
          <w:rFonts w:hint="eastAsia" w:ascii="楷体" w:hAnsi="楷体" w:eastAsia="楷体" w:cs="楷体"/>
          <w:b/>
          <w:sz w:val="32"/>
          <w:szCs w:val="32"/>
        </w:rPr>
        <w:t>。</w:t>
      </w:r>
      <w:bookmarkEnd w:id="73"/>
      <w:bookmarkEnd w:id="74"/>
      <w:bookmarkEnd w:id="75"/>
      <w:bookmarkEnd w:id="76"/>
    </w:p>
    <w:p>
      <w:pPr>
        <w:spacing w:line="560" w:lineRule="exact"/>
        <w:ind w:firstLine="640" w:firstLineChars="200"/>
        <w:rPr>
          <w:rFonts w:ascii="仿宋" w:hAnsi="仿宋" w:eastAsia="仿宋"/>
          <w:sz w:val="32"/>
          <w:szCs w:val="32"/>
        </w:rPr>
      </w:pPr>
      <w:r>
        <w:rPr>
          <w:rFonts w:hint="eastAsia" w:ascii="仿宋" w:hAnsi="仿宋" w:eastAsia="仿宋"/>
          <w:sz w:val="32"/>
          <w:szCs w:val="32"/>
        </w:rPr>
        <w:t>2020年度一般公共预算财政拨款支出270.04万元，主要用于以下方面</w:t>
      </w:r>
      <w:r>
        <w:rPr>
          <w:rFonts w:hint="eastAsia" w:ascii="仿宋" w:hAnsi="仿宋" w:eastAsia="仿宋"/>
          <w:b/>
          <w:sz w:val="32"/>
          <w:szCs w:val="32"/>
        </w:rPr>
        <w:t>：社会保障和就业（类）</w:t>
      </w:r>
      <w:r>
        <w:rPr>
          <w:rFonts w:hint="eastAsia" w:ascii="仿宋" w:hAnsi="仿宋" w:eastAsia="仿宋"/>
          <w:sz w:val="32"/>
          <w:szCs w:val="32"/>
        </w:rPr>
        <w:t>支出11.79万元，占4.37%；</w:t>
      </w:r>
      <w:r>
        <w:rPr>
          <w:rFonts w:hint="eastAsia" w:ascii="仿宋" w:hAnsi="仿宋" w:eastAsia="仿宋"/>
          <w:b/>
          <w:sz w:val="32"/>
          <w:szCs w:val="32"/>
        </w:rPr>
        <w:t>卫生健康支出（类）</w:t>
      </w:r>
      <w:r>
        <w:rPr>
          <w:rFonts w:hint="eastAsia" w:ascii="仿宋" w:hAnsi="仿宋" w:eastAsia="仿宋"/>
          <w:sz w:val="32"/>
          <w:szCs w:val="32"/>
        </w:rPr>
        <w:t>支出5.10万元，占1.88%。</w:t>
      </w:r>
      <w:r>
        <w:rPr>
          <w:rFonts w:hint="eastAsia" w:ascii="仿宋" w:hAnsi="仿宋" w:eastAsia="仿宋" w:cs="Arial"/>
          <w:b/>
          <w:color w:val="000000"/>
          <w:sz w:val="32"/>
          <w:szCs w:val="32"/>
        </w:rPr>
        <w:t>交通运输</w:t>
      </w:r>
      <w:r>
        <w:rPr>
          <w:rFonts w:hint="eastAsia" w:ascii="仿宋" w:hAnsi="仿宋" w:eastAsia="仿宋"/>
          <w:b/>
          <w:sz w:val="32"/>
          <w:szCs w:val="32"/>
        </w:rPr>
        <w:t>（类）</w:t>
      </w:r>
      <w:r>
        <w:rPr>
          <w:rFonts w:hint="eastAsia" w:ascii="仿宋" w:hAnsi="仿宋" w:eastAsia="仿宋" w:cs="Arial"/>
          <w:b/>
          <w:color w:val="000000"/>
          <w:sz w:val="32"/>
          <w:szCs w:val="32"/>
        </w:rPr>
        <w:t>支出</w:t>
      </w:r>
      <w:r>
        <w:rPr>
          <w:rFonts w:hint="eastAsia" w:ascii="仿宋" w:hAnsi="仿宋" w:eastAsia="仿宋"/>
          <w:sz w:val="32"/>
          <w:szCs w:val="32"/>
        </w:rPr>
        <w:t>245.68万元，占90.98%；</w:t>
      </w:r>
      <w:r>
        <w:rPr>
          <w:rFonts w:hint="eastAsia" w:ascii="仿宋" w:hAnsi="仿宋" w:eastAsia="仿宋"/>
          <w:b/>
          <w:bCs/>
          <w:sz w:val="32"/>
          <w:szCs w:val="32"/>
        </w:rPr>
        <w:t>住房保障（类）</w:t>
      </w:r>
      <w:r>
        <w:rPr>
          <w:rFonts w:hint="eastAsia" w:ascii="仿宋" w:hAnsi="仿宋" w:eastAsia="仿宋"/>
          <w:sz w:val="32"/>
          <w:szCs w:val="32"/>
        </w:rPr>
        <w:t xml:space="preserve">支出7.47万元，占2.77%； </w:t>
      </w:r>
    </w:p>
    <w:p>
      <w:pPr>
        <w:spacing w:line="560" w:lineRule="exact"/>
        <w:ind w:firstLine="643" w:firstLineChars="200"/>
        <w:rPr>
          <w:rFonts w:ascii="楷体" w:hAnsi="楷体" w:eastAsia="楷体" w:cs="楷体"/>
          <w:b/>
          <w:sz w:val="32"/>
          <w:szCs w:val="32"/>
        </w:rPr>
      </w:pPr>
      <w:bookmarkStart w:id="77" w:name="_Toc21701_WPSOffice_Level2"/>
      <w:bookmarkStart w:id="78" w:name="_Toc25136_WPSOffice_Level2"/>
      <w:bookmarkStart w:id="79" w:name="_Toc29364_WPSOffice_Level2"/>
      <w:bookmarkStart w:id="80" w:name="_Toc22318_WPSOffice_Level2"/>
      <w:bookmarkStart w:id="81" w:name="_Toc15415_WPSOffice_Level2"/>
      <w:bookmarkStart w:id="82" w:name="_Toc9502_WPSOffice_Level2"/>
      <w:r>
        <w:rPr>
          <w:rFonts w:hint="eastAsia" w:ascii="楷体" w:hAnsi="楷体" w:eastAsia="楷体" w:cs="楷体"/>
          <w:b/>
          <w:sz w:val="32"/>
          <w:szCs w:val="32"/>
        </w:rPr>
        <w:t>（三）一般公共预算财政拨款支出决算具体情况。</w:t>
      </w:r>
      <w:bookmarkEnd w:id="77"/>
      <w:bookmarkEnd w:id="78"/>
      <w:bookmarkEnd w:id="79"/>
      <w:bookmarkEnd w:id="80"/>
      <w:bookmarkEnd w:id="81"/>
      <w:bookmarkEnd w:id="82"/>
    </w:p>
    <w:p>
      <w:pPr>
        <w:spacing w:line="560" w:lineRule="exact"/>
        <w:ind w:firstLine="640" w:firstLineChars="200"/>
        <w:rPr>
          <w:rFonts w:ascii="仿宋" w:hAnsi="仿宋" w:eastAsia="仿宋"/>
          <w:sz w:val="32"/>
          <w:szCs w:val="32"/>
        </w:rPr>
      </w:pPr>
      <w:r>
        <w:rPr>
          <w:rFonts w:hint="eastAsia" w:ascii="仿宋" w:hAnsi="仿宋" w:eastAsia="仿宋"/>
          <w:sz w:val="32"/>
          <w:szCs w:val="32"/>
        </w:rPr>
        <w:t>2020年度一般公共预算财政拨款支出年初预算为269.21万元，支出决算为270.04万元，完成年初预算的100.31%。其中</w:t>
      </w:r>
    </w:p>
    <w:p>
      <w:pPr>
        <w:spacing w:line="560" w:lineRule="exact"/>
        <w:ind w:firstLine="643" w:firstLineChars="200"/>
        <w:rPr>
          <w:rFonts w:ascii="仿宋" w:hAnsi="仿宋" w:eastAsia="仿宋"/>
          <w:b/>
          <w:color w:val="000000" w:themeColor="text1"/>
          <w:sz w:val="32"/>
          <w:szCs w:val="32"/>
        </w:rPr>
      </w:pPr>
      <w:r>
        <w:rPr>
          <w:rFonts w:hint="eastAsia" w:ascii="仿宋" w:hAnsi="仿宋" w:eastAsia="仿宋"/>
          <w:b/>
          <w:sz w:val="32"/>
          <w:szCs w:val="32"/>
        </w:rPr>
        <w:t>1.社会保障和就业（类）支出</w:t>
      </w:r>
      <w:r>
        <w:rPr>
          <w:rFonts w:hint="eastAsia" w:ascii="仿宋" w:hAnsi="仿宋" w:eastAsia="仿宋"/>
          <w:b/>
          <w:color w:val="000000" w:themeColor="text1"/>
          <w:sz w:val="32"/>
          <w:szCs w:val="32"/>
        </w:rPr>
        <w:t>行政事业单位养老支出（款）机关事业单位基本养老保险缴费支出（项）</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sz w:val="32"/>
          <w:szCs w:val="32"/>
        </w:rPr>
        <w:t>2020年年初预算为9.14万元，支出决算为11.79万元，完成年初预算的128.99%。决算数大于预算数的主要原因：年中追加人员工资，养老缴费增加。</w:t>
      </w:r>
    </w:p>
    <w:p>
      <w:pPr>
        <w:spacing w:line="560" w:lineRule="exact"/>
        <w:ind w:firstLine="630"/>
        <w:rPr>
          <w:rFonts w:ascii="仿宋" w:hAnsi="仿宋" w:eastAsia="仿宋"/>
          <w:b/>
          <w:color w:val="000000" w:themeColor="text1"/>
          <w:sz w:val="32"/>
          <w:szCs w:val="32"/>
        </w:rPr>
      </w:pPr>
      <w:r>
        <w:rPr>
          <w:rFonts w:hint="eastAsia" w:ascii="仿宋" w:hAnsi="仿宋" w:eastAsia="仿宋"/>
          <w:b/>
          <w:sz w:val="32"/>
          <w:szCs w:val="32"/>
        </w:rPr>
        <w:t>2.</w:t>
      </w:r>
      <w:r>
        <w:rPr>
          <w:rFonts w:hint="eastAsia" w:ascii="仿宋" w:hAnsi="仿宋" w:eastAsia="仿宋" w:cs="Arial"/>
          <w:b/>
          <w:color w:val="000000"/>
          <w:sz w:val="32"/>
          <w:szCs w:val="32"/>
        </w:rPr>
        <w:t>卫生健康</w:t>
      </w:r>
      <w:r>
        <w:rPr>
          <w:rFonts w:hint="eastAsia" w:ascii="仿宋" w:hAnsi="仿宋" w:eastAsia="仿宋"/>
          <w:b/>
          <w:sz w:val="32"/>
          <w:szCs w:val="32"/>
        </w:rPr>
        <w:t>（类）</w:t>
      </w:r>
      <w:r>
        <w:rPr>
          <w:rFonts w:hint="eastAsia" w:ascii="仿宋" w:hAnsi="仿宋" w:eastAsia="仿宋" w:cs="Arial"/>
          <w:b/>
          <w:color w:val="000000"/>
          <w:sz w:val="32"/>
          <w:szCs w:val="32"/>
        </w:rPr>
        <w:t>支出</w:t>
      </w:r>
      <w:r>
        <w:rPr>
          <w:rFonts w:hint="eastAsia" w:ascii="仿宋" w:hAnsi="仿宋" w:eastAsia="仿宋"/>
          <w:b/>
          <w:color w:val="000000" w:themeColor="text1"/>
          <w:sz w:val="32"/>
          <w:szCs w:val="32"/>
        </w:rPr>
        <w:t>行政事业单位医疗（款）事业单位医疗（项）</w:t>
      </w:r>
    </w:p>
    <w:p>
      <w:pPr>
        <w:spacing w:line="560" w:lineRule="exact"/>
        <w:ind w:firstLine="630"/>
        <w:rPr>
          <w:rFonts w:ascii="仿宋" w:hAnsi="仿宋" w:eastAsia="仿宋"/>
          <w:sz w:val="32"/>
          <w:szCs w:val="32"/>
        </w:rPr>
      </w:pPr>
      <w:r>
        <w:rPr>
          <w:rFonts w:hint="eastAsia" w:ascii="仿宋" w:hAnsi="仿宋" w:eastAsia="仿宋"/>
          <w:sz w:val="32"/>
          <w:szCs w:val="32"/>
        </w:rPr>
        <w:t>2020年年初预算为4.86万元，支出决算为5.10万元，完成年初预算的104.94%。决算数大于预算数的主要原因：年中追加人员工资，医疗缴费增加。</w:t>
      </w:r>
    </w:p>
    <w:p>
      <w:pPr>
        <w:spacing w:line="560" w:lineRule="exact"/>
        <w:ind w:firstLine="630"/>
        <w:rPr>
          <w:rFonts w:ascii="仿宋" w:hAnsi="仿宋" w:eastAsia="仿宋"/>
          <w:b/>
          <w:color w:val="000000" w:themeColor="text1"/>
          <w:sz w:val="32"/>
          <w:szCs w:val="32"/>
        </w:rPr>
      </w:pPr>
      <w:r>
        <w:rPr>
          <w:rFonts w:hint="eastAsia" w:ascii="仿宋" w:hAnsi="仿宋" w:eastAsia="仿宋"/>
          <w:b/>
          <w:sz w:val="32"/>
          <w:szCs w:val="32"/>
        </w:rPr>
        <w:t>3.</w:t>
      </w:r>
      <w:r>
        <w:rPr>
          <w:rFonts w:hint="eastAsia" w:ascii="仿宋" w:hAnsi="仿宋" w:eastAsia="仿宋" w:cs="Arial"/>
          <w:b/>
          <w:color w:val="000000"/>
          <w:sz w:val="32"/>
          <w:szCs w:val="32"/>
        </w:rPr>
        <w:t>交通运输</w:t>
      </w:r>
      <w:r>
        <w:rPr>
          <w:rFonts w:hint="eastAsia" w:ascii="仿宋" w:hAnsi="仿宋" w:eastAsia="仿宋"/>
          <w:b/>
          <w:sz w:val="32"/>
          <w:szCs w:val="32"/>
        </w:rPr>
        <w:t>（类）</w:t>
      </w:r>
      <w:r>
        <w:rPr>
          <w:rFonts w:hint="eastAsia" w:ascii="仿宋" w:hAnsi="仿宋" w:eastAsia="仿宋" w:cs="Arial"/>
          <w:b/>
          <w:color w:val="000000"/>
          <w:sz w:val="32"/>
          <w:szCs w:val="32"/>
        </w:rPr>
        <w:t>支出</w:t>
      </w:r>
      <w:r>
        <w:rPr>
          <w:rFonts w:hint="eastAsia" w:ascii="仿宋" w:hAnsi="仿宋" w:eastAsia="仿宋"/>
          <w:b/>
          <w:color w:val="000000" w:themeColor="text1"/>
          <w:sz w:val="32"/>
          <w:szCs w:val="32"/>
        </w:rPr>
        <w:t>公路水路运输（款）航道维护（项）</w:t>
      </w:r>
    </w:p>
    <w:p>
      <w:pPr>
        <w:spacing w:line="560" w:lineRule="exact"/>
        <w:ind w:firstLine="630"/>
        <w:rPr>
          <w:rFonts w:ascii="仿宋" w:hAnsi="仿宋" w:eastAsia="仿宋"/>
          <w:sz w:val="32"/>
          <w:szCs w:val="32"/>
        </w:rPr>
      </w:pPr>
      <w:r>
        <w:rPr>
          <w:rFonts w:hint="eastAsia" w:ascii="仿宋" w:hAnsi="仿宋" w:eastAsia="仿宋"/>
          <w:sz w:val="32"/>
          <w:szCs w:val="32"/>
        </w:rPr>
        <w:t>2020年年初预算为136.4万元，支出决算为133.4万元，完成年初预算的97.8%。</w:t>
      </w:r>
      <w:r>
        <w:rPr>
          <w:rFonts w:hint="eastAsia" w:ascii="仿宋" w:hAnsi="仿宋" w:eastAsia="仿宋"/>
          <w:color w:val="000000"/>
          <w:sz w:val="32"/>
          <w:szCs w:val="32"/>
        </w:rPr>
        <w:t>年初预算数与决算数有差异的</w:t>
      </w:r>
      <w:r>
        <w:rPr>
          <w:rFonts w:hint="eastAsia" w:ascii="仿宋" w:hAnsi="仿宋" w:eastAsia="仿宋"/>
          <w:sz w:val="32"/>
          <w:szCs w:val="32"/>
        </w:rPr>
        <w:t>原因：项目指标调整压缩，财政收回3万元。</w:t>
      </w:r>
    </w:p>
    <w:p>
      <w:pPr>
        <w:spacing w:line="560" w:lineRule="exact"/>
        <w:ind w:firstLine="630"/>
        <w:rPr>
          <w:rFonts w:ascii="仿宋" w:hAnsi="仿宋" w:eastAsia="仿宋"/>
          <w:b/>
          <w:color w:val="000000" w:themeColor="text1"/>
          <w:sz w:val="32"/>
          <w:szCs w:val="32"/>
        </w:rPr>
      </w:pPr>
      <w:r>
        <w:rPr>
          <w:rFonts w:hint="eastAsia" w:ascii="仿宋" w:hAnsi="仿宋" w:eastAsia="仿宋"/>
          <w:b/>
          <w:sz w:val="32"/>
          <w:szCs w:val="32"/>
        </w:rPr>
        <w:t>4.</w:t>
      </w:r>
      <w:r>
        <w:rPr>
          <w:rFonts w:hint="eastAsia" w:ascii="仿宋" w:hAnsi="仿宋" w:eastAsia="仿宋" w:cs="Arial"/>
          <w:b/>
          <w:color w:val="000000"/>
          <w:sz w:val="32"/>
          <w:szCs w:val="32"/>
        </w:rPr>
        <w:t>交通运输</w:t>
      </w:r>
      <w:r>
        <w:rPr>
          <w:rFonts w:hint="eastAsia" w:ascii="仿宋" w:hAnsi="仿宋" w:eastAsia="仿宋"/>
          <w:b/>
          <w:sz w:val="32"/>
          <w:szCs w:val="32"/>
        </w:rPr>
        <w:t>（类）</w:t>
      </w:r>
      <w:r>
        <w:rPr>
          <w:rFonts w:hint="eastAsia" w:ascii="仿宋" w:hAnsi="仿宋" w:eastAsia="仿宋" w:cs="Arial"/>
          <w:b/>
          <w:color w:val="000000"/>
          <w:sz w:val="32"/>
          <w:szCs w:val="32"/>
        </w:rPr>
        <w:t>支出</w:t>
      </w:r>
      <w:r>
        <w:rPr>
          <w:rFonts w:hint="eastAsia" w:ascii="仿宋" w:hAnsi="仿宋" w:eastAsia="仿宋"/>
          <w:b/>
          <w:color w:val="000000" w:themeColor="text1"/>
          <w:sz w:val="32"/>
          <w:szCs w:val="32"/>
        </w:rPr>
        <w:t>公路水路运输（款）其他公路水路运输支出（项）</w:t>
      </w:r>
    </w:p>
    <w:p>
      <w:pPr>
        <w:spacing w:line="560" w:lineRule="exact"/>
        <w:ind w:firstLine="630"/>
        <w:rPr>
          <w:rFonts w:ascii="仿宋" w:hAnsi="仿宋" w:eastAsia="仿宋"/>
          <w:color w:val="000000" w:themeColor="text1"/>
          <w:sz w:val="32"/>
          <w:szCs w:val="32"/>
        </w:rPr>
      </w:pPr>
      <w:r>
        <w:rPr>
          <w:rFonts w:hint="eastAsia" w:ascii="仿宋" w:hAnsi="仿宋" w:eastAsia="仿宋"/>
          <w:sz w:val="32"/>
          <w:szCs w:val="32"/>
        </w:rPr>
        <w:t>2020年年初预算为110.31万元，支出决算为112.28万元，完成年初预算的101.79%</w:t>
      </w:r>
      <w:r>
        <w:rPr>
          <w:rFonts w:hint="eastAsia" w:ascii="仿宋" w:hAnsi="仿宋" w:eastAsia="仿宋"/>
          <w:color w:val="000000"/>
          <w:sz w:val="32"/>
          <w:szCs w:val="32"/>
        </w:rPr>
        <w:t>。</w:t>
      </w:r>
      <w:r>
        <w:rPr>
          <w:rFonts w:hint="eastAsia" w:ascii="仿宋" w:hAnsi="仿宋" w:eastAsia="仿宋"/>
          <w:sz w:val="32"/>
          <w:szCs w:val="32"/>
        </w:rPr>
        <w:t>决算数大于预算数的主要原因：年中追加人员工资。</w:t>
      </w:r>
    </w:p>
    <w:p>
      <w:pPr>
        <w:spacing w:line="560" w:lineRule="exact"/>
        <w:ind w:firstLine="643" w:firstLineChars="200"/>
        <w:rPr>
          <w:rFonts w:ascii="仿宋" w:hAnsi="仿宋" w:eastAsia="仿宋"/>
          <w:b/>
          <w:color w:val="000000" w:themeColor="text1"/>
          <w:sz w:val="32"/>
          <w:szCs w:val="32"/>
        </w:rPr>
      </w:pPr>
      <w:r>
        <w:rPr>
          <w:rFonts w:hint="eastAsia" w:ascii="仿宋" w:hAnsi="仿宋" w:eastAsia="仿宋"/>
          <w:b/>
          <w:sz w:val="32"/>
          <w:szCs w:val="32"/>
        </w:rPr>
        <w:t>5.</w:t>
      </w:r>
      <w:r>
        <w:rPr>
          <w:rFonts w:hint="eastAsia" w:ascii="仿宋" w:hAnsi="仿宋" w:eastAsia="仿宋"/>
          <w:b/>
          <w:color w:val="000000" w:themeColor="text1"/>
          <w:sz w:val="32"/>
          <w:szCs w:val="32"/>
        </w:rPr>
        <w:t>住房保障</w:t>
      </w:r>
      <w:r>
        <w:rPr>
          <w:rFonts w:hint="eastAsia" w:ascii="仿宋" w:hAnsi="仿宋" w:eastAsia="仿宋"/>
          <w:b/>
          <w:sz w:val="32"/>
          <w:szCs w:val="32"/>
        </w:rPr>
        <w:t>（类）</w:t>
      </w:r>
      <w:r>
        <w:rPr>
          <w:rFonts w:hint="eastAsia" w:ascii="仿宋" w:hAnsi="仿宋" w:eastAsia="仿宋" w:cs="仿宋_GB2312"/>
          <w:b/>
          <w:color w:val="000000" w:themeColor="text1"/>
          <w:sz w:val="32"/>
          <w:szCs w:val="32"/>
        </w:rPr>
        <w:t>支出住房改革支出</w:t>
      </w:r>
      <w:r>
        <w:rPr>
          <w:rFonts w:hint="eastAsia" w:ascii="仿宋" w:hAnsi="仿宋" w:eastAsia="仿宋"/>
          <w:b/>
          <w:color w:val="000000" w:themeColor="text1"/>
          <w:sz w:val="32"/>
          <w:szCs w:val="32"/>
        </w:rPr>
        <w:t>（款）</w:t>
      </w:r>
      <w:r>
        <w:rPr>
          <w:rFonts w:hint="eastAsia" w:ascii="仿宋" w:hAnsi="仿宋" w:eastAsia="仿宋" w:cs="仿宋_GB2312"/>
          <w:b/>
          <w:color w:val="000000" w:themeColor="text1"/>
          <w:sz w:val="32"/>
          <w:szCs w:val="32"/>
        </w:rPr>
        <w:t>住房公积金</w:t>
      </w:r>
      <w:r>
        <w:rPr>
          <w:rFonts w:hint="eastAsia" w:ascii="仿宋" w:hAnsi="仿宋" w:eastAsia="仿宋"/>
          <w:b/>
          <w:color w:val="000000" w:themeColor="text1"/>
          <w:sz w:val="32"/>
          <w:szCs w:val="32"/>
        </w:rPr>
        <w:t>（项）</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sz w:val="32"/>
          <w:szCs w:val="32"/>
        </w:rPr>
        <w:t>2020年年初预算为7.13万元，支出决算为7.47万元，完成年初预算的104.77%。决算数大于预算数的主要原因：年中追加人员工资，公积金缴费增加。</w:t>
      </w:r>
    </w:p>
    <w:p>
      <w:pPr>
        <w:spacing w:line="560" w:lineRule="exact"/>
        <w:ind w:firstLine="630" w:firstLineChars="196"/>
        <w:rPr>
          <w:rFonts w:ascii="仿宋" w:hAnsi="仿宋" w:eastAsia="仿宋" w:cs="黑体"/>
          <w:b/>
          <w:sz w:val="32"/>
          <w:szCs w:val="32"/>
        </w:rPr>
      </w:pPr>
      <w:r>
        <w:rPr>
          <w:rFonts w:hint="eastAsia" w:ascii="仿宋" w:hAnsi="仿宋" w:eastAsia="仿宋" w:cs="黑体"/>
          <w:b/>
          <w:bCs/>
          <w:sz w:val="32"/>
          <w:szCs w:val="32"/>
        </w:rPr>
        <w:t>六、一般公共预算财政拨款基本支出决算情况说明。</w:t>
      </w:r>
    </w:p>
    <w:p>
      <w:pPr>
        <w:tabs>
          <w:tab w:val="center" w:pos="4473"/>
        </w:tabs>
        <w:spacing w:line="560" w:lineRule="exact"/>
        <w:ind w:firstLine="640" w:firstLineChars="200"/>
        <w:rPr>
          <w:rFonts w:ascii="仿宋" w:hAnsi="仿宋" w:eastAsia="仿宋"/>
          <w:sz w:val="32"/>
          <w:szCs w:val="32"/>
        </w:rPr>
      </w:pPr>
      <w:r>
        <w:rPr>
          <w:rFonts w:hint="eastAsia" w:ascii="仿宋" w:hAnsi="仿宋" w:eastAsia="仿宋"/>
          <w:sz w:val="32"/>
          <w:szCs w:val="32"/>
        </w:rPr>
        <w:t>2020年度财政拨款基本支出136.64万元，其中：人员经费113.24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23.40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2020年度政府性基金预算财政拨款支出0万元，占本年支出合计的0%。与2019年度政府性基金预算财政拨款支出数持平。</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2020年度政府性基金预算财政拨款支出0万元。</w:t>
      </w:r>
    </w:p>
    <w:p>
      <w:pPr>
        <w:ind w:firstLine="643"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ind w:firstLine="800" w:firstLineChars="250"/>
        <w:rPr>
          <w:rFonts w:ascii="仿宋_GB2312" w:hAnsi="ˎ̥" w:eastAsia="仿宋_GB2312"/>
          <w:sz w:val="32"/>
          <w:szCs w:val="32"/>
        </w:rPr>
      </w:pPr>
      <w:r>
        <w:rPr>
          <w:rFonts w:hint="eastAsia" w:ascii="仿宋" w:hAnsi="仿宋" w:eastAsia="仿宋"/>
          <w:sz w:val="32"/>
          <w:szCs w:val="32"/>
        </w:rPr>
        <w:t>2020年度政府性基金预算财政拨款支出年初预算为0万元，支出决算为0万元</w:t>
      </w:r>
      <w:r>
        <w:rPr>
          <w:rFonts w:hint="eastAsia" w:ascii="仿宋_GB2312" w:hAnsi="ˎ̥" w:eastAsia="仿宋_GB2312"/>
          <w:sz w:val="32"/>
          <w:szCs w:val="32"/>
        </w:rPr>
        <w:t>。</w:t>
      </w:r>
      <w:r>
        <w:rPr>
          <w:rFonts w:hint="eastAsia" w:ascii="仿宋" w:hAnsi="仿宋" w:eastAsia="仿宋"/>
          <w:sz w:val="32"/>
          <w:szCs w:val="32"/>
        </w:rPr>
        <w:t>与2019年度政府性基金预算财政拨款支出数持平。</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2020年度国有资本经营预算财政拨款支出0万元占本年支出合计的0%。与2019年度国有资本经营预算财政拨款支出数持平。</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2020年度国有资本经营预算财政拨款支出年初预算为0万元，支出决算为0万元。</w:t>
      </w:r>
    </w:p>
    <w:p>
      <w:pPr>
        <w:spacing w:line="560" w:lineRule="exact"/>
        <w:ind w:firstLine="790" w:firstLineChars="246"/>
        <w:rPr>
          <w:rFonts w:ascii="仿宋" w:hAnsi="仿宋" w:eastAsia="仿宋"/>
          <w:b/>
          <w:sz w:val="32"/>
          <w:szCs w:val="32"/>
        </w:rPr>
      </w:pPr>
      <w:r>
        <w:rPr>
          <w:rFonts w:hint="eastAsia" w:ascii="仿宋" w:hAnsi="仿宋" w:eastAsia="仿宋" w:cs="黑体"/>
          <w:b/>
          <w:bCs/>
          <w:sz w:val="32"/>
          <w:szCs w:val="32"/>
        </w:rPr>
        <w:t>九、一般公共预算财政拨款“三公”经费支出决算情况说明</w:t>
      </w:r>
    </w:p>
    <w:p>
      <w:pPr>
        <w:spacing w:line="560" w:lineRule="exact"/>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spacing w:line="560" w:lineRule="exact"/>
        <w:rPr>
          <w:rFonts w:ascii="仿宋" w:hAnsi="仿宋" w:eastAsia="仿宋"/>
          <w:sz w:val="32"/>
          <w:szCs w:val="32"/>
        </w:rPr>
      </w:pPr>
      <w:r>
        <w:rPr>
          <w:rFonts w:hint="eastAsia" w:ascii="仿宋" w:hAnsi="仿宋" w:eastAsia="仿宋"/>
          <w:sz w:val="32"/>
          <w:szCs w:val="32"/>
        </w:rPr>
        <w:t xml:space="preserve">    2020年度一般公共预算财政拨款“三公”经费支出预算为2.75万元，支出决算为1.91万元，完成预算69.45%。</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（二）一般公共预算财政拨款“三公”经费支出决算具体情况说明。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2020年度一般公共预算财政拨款“三公”经费支出决算中，因公出国（境）费支出决算0万元，占0%；公务用车购置及运行费支出决算1.91万元，占100%；公务接待费支出决算0万元，占0%。具体情况如下：</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1.因公出国（境）费支出0万元。</w:t>
      </w:r>
      <w:r>
        <w:rPr>
          <w:rFonts w:hint="eastAsia" w:ascii="仿宋" w:hAnsi="仿宋" w:eastAsia="仿宋"/>
          <w:sz w:val="32"/>
          <w:szCs w:val="32"/>
        </w:rPr>
        <w:t>全年安排因公出国（境）团组0</w:t>
      </w:r>
      <w:r>
        <w:rPr>
          <w:rStyle w:val="14"/>
          <w:rFonts w:hint="eastAsia" w:ascii="仿宋" w:hAnsi="仿宋" w:eastAsia="仿宋"/>
          <w:sz w:val="32"/>
          <w:szCs w:val="32"/>
        </w:rPr>
        <w:t>个</w:t>
      </w:r>
      <w:r>
        <w:rPr>
          <w:rFonts w:hint="eastAsia" w:ascii="仿宋" w:hAnsi="仿宋" w:eastAsia="仿宋"/>
          <w:sz w:val="32"/>
          <w:szCs w:val="32"/>
        </w:rPr>
        <w:t>，因公出国（境）0人次。与20</w:t>
      </w:r>
      <w:r>
        <w:rPr>
          <w:rFonts w:hint="eastAsia" w:ascii="仿宋" w:hAnsi="仿宋" w:eastAsia="仿宋"/>
          <w:sz w:val="32"/>
          <w:szCs w:val="32"/>
          <w:lang w:val="en-US" w:eastAsia="zh-CN"/>
        </w:rPr>
        <w:t>20</w:t>
      </w:r>
      <w:r>
        <w:rPr>
          <w:rFonts w:hint="eastAsia" w:ascii="仿宋" w:hAnsi="仿宋" w:eastAsia="仿宋"/>
          <w:sz w:val="32"/>
          <w:szCs w:val="32"/>
        </w:rPr>
        <w:t>年度</w:t>
      </w:r>
      <w:r>
        <w:rPr>
          <w:rFonts w:hint="eastAsia" w:ascii="仿宋" w:hAnsi="仿宋" w:eastAsia="仿宋"/>
          <w:sz w:val="32"/>
          <w:szCs w:val="32"/>
          <w:lang w:val="en-US" w:eastAsia="zh-CN"/>
        </w:rPr>
        <w:t>预</w:t>
      </w:r>
      <w:r>
        <w:rPr>
          <w:rFonts w:hint="eastAsia" w:ascii="仿宋" w:hAnsi="仿宋" w:eastAsia="仿宋"/>
          <w:sz w:val="32"/>
          <w:szCs w:val="32"/>
        </w:rPr>
        <w:t>算数持平。</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2.公务用车购置及运行费支出1.91万元。</w:t>
      </w:r>
      <w:r>
        <w:rPr>
          <w:rFonts w:hint="eastAsia" w:ascii="仿宋" w:hAnsi="仿宋" w:eastAsia="仿宋"/>
          <w:sz w:val="32"/>
          <w:szCs w:val="32"/>
        </w:rPr>
        <w:t>其中：</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公务用车购置支出0万元</w:t>
      </w:r>
      <w:r>
        <w:rPr>
          <w:rFonts w:hint="eastAsia" w:ascii="仿宋" w:hAnsi="仿宋" w:eastAsia="仿宋"/>
          <w:sz w:val="32"/>
          <w:szCs w:val="32"/>
        </w:rPr>
        <w:t>，全年购置公务用车0辆，年末公务用车保有量1辆。</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公务用车运行维护费支出1.91万元</w:t>
      </w:r>
      <w:r>
        <w:rPr>
          <w:rFonts w:hint="eastAsia" w:ascii="仿宋" w:hAnsi="仿宋" w:eastAsia="仿宋"/>
          <w:sz w:val="32"/>
          <w:szCs w:val="32"/>
        </w:rPr>
        <w:t>，主要用于公务用车燃油费、维修费及车辆保险费的支出。</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公务用车购置及运行费支出决算数</w:t>
      </w:r>
      <w:r>
        <w:rPr>
          <w:rFonts w:hint="eastAsia" w:ascii="仿宋" w:hAnsi="仿宋" w:eastAsia="仿宋"/>
          <w:sz w:val="32"/>
          <w:szCs w:val="32"/>
        </w:rPr>
        <w:t>比预算数减少0.84万元，下降30.55%。主要原因是</w:t>
      </w:r>
      <w:r>
        <w:rPr>
          <w:rFonts w:hint="eastAsia" w:ascii="仿宋" w:hAnsi="仿宋" w:eastAsia="仿宋"/>
          <w:color w:val="000000"/>
          <w:sz w:val="32"/>
          <w:szCs w:val="32"/>
        </w:rPr>
        <w:t>单位加强公车管理，严格控制公务用车运行成本</w:t>
      </w:r>
      <w:r>
        <w:rPr>
          <w:rFonts w:hint="eastAsia" w:ascii="仿宋" w:hAnsi="仿宋" w:eastAsia="仿宋"/>
          <w:sz w:val="32"/>
          <w:szCs w:val="32"/>
        </w:rPr>
        <w:t>。</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3.公务接待费支出0万元</w:t>
      </w:r>
      <w:r>
        <w:rPr>
          <w:rFonts w:hint="eastAsia" w:ascii="仿宋" w:hAnsi="仿宋" w:eastAsia="仿宋"/>
          <w:sz w:val="32"/>
          <w:szCs w:val="32"/>
        </w:rPr>
        <w:t>。其中：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国内接待费支出0万元，国内公务接待0批次，接待0人次。与20</w:t>
      </w:r>
      <w:r>
        <w:rPr>
          <w:rFonts w:hint="eastAsia" w:ascii="仿宋" w:hAnsi="仿宋" w:eastAsia="仿宋"/>
          <w:sz w:val="32"/>
          <w:szCs w:val="32"/>
          <w:lang w:val="en-US" w:eastAsia="zh-CN"/>
        </w:rPr>
        <w:t>20</w:t>
      </w:r>
      <w:r>
        <w:rPr>
          <w:rFonts w:hint="eastAsia" w:ascii="仿宋" w:hAnsi="仿宋" w:eastAsia="仿宋"/>
          <w:sz w:val="32"/>
          <w:szCs w:val="32"/>
        </w:rPr>
        <w:t>年度</w:t>
      </w:r>
      <w:r>
        <w:rPr>
          <w:rFonts w:hint="eastAsia" w:ascii="仿宋" w:hAnsi="仿宋" w:eastAsia="仿宋"/>
          <w:sz w:val="32"/>
          <w:szCs w:val="32"/>
          <w:lang w:val="en-US" w:eastAsia="zh-CN"/>
        </w:rPr>
        <w:t>预</w:t>
      </w:r>
      <w:r>
        <w:rPr>
          <w:rFonts w:hint="eastAsia" w:ascii="仿宋" w:hAnsi="仿宋" w:eastAsia="仿宋"/>
          <w:sz w:val="32"/>
          <w:szCs w:val="32"/>
        </w:rPr>
        <w:t>算数持平。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国（境）外接待费支出0万元，国（境）外公务接待0批次，接待0人次。与20</w:t>
      </w:r>
      <w:r>
        <w:rPr>
          <w:rFonts w:hint="eastAsia" w:ascii="仿宋" w:hAnsi="仿宋" w:eastAsia="仿宋"/>
          <w:sz w:val="32"/>
          <w:szCs w:val="32"/>
          <w:lang w:val="en-US" w:eastAsia="zh-CN"/>
        </w:rPr>
        <w:t>20</w:t>
      </w:r>
      <w:r>
        <w:rPr>
          <w:rFonts w:hint="eastAsia" w:ascii="仿宋" w:hAnsi="仿宋" w:eastAsia="仿宋"/>
          <w:sz w:val="32"/>
          <w:szCs w:val="32"/>
        </w:rPr>
        <w:t>年度</w:t>
      </w:r>
      <w:r>
        <w:rPr>
          <w:rFonts w:hint="eastAsia" w:ascii="仿宋" w:hAnsi="仿宋" w:eastAsia="仿宋"/>
          <w:sz w:val="32"/>
          <w:szCs w:val="32"/>
          <w:lang w:val="en-US" w:eastAsia="zh-CN"/>
        </w:rPr>
        <w:t>预</w:t>
      </w:r>
      <w:r>
        <w:rPr>
          <w:rFonts w:hint="eastAsia" w:ascii="仿宋" w:hAnsi="仿宋" w:eastAsia="仿宋"/>
          <w:sz w:val="32"/>
          <w:szCs w:val="32"/>
        </w:rPr>
        <w:t>算数持平。</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2020年度政府性基金预算财政拨款“三公”经费支出合计0.00万元。其中：因公出国（境）费支出决算0.00万元，占0%；公务用车购置及运行费支出决算0.00万元，占0%；公务接待费支出决算0.00万元，占0%。</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2020年度国有资本经营预算财政拨款“三公”经费支出合计0.00万元。其中：因公出国（境）费支出决算0.00万元，占0%；公务用车购置及运行费支出决算0.00万元，占0%；公务接待费支出决算0.00万元，占0%。</w:t>
      </w:r>
    </w:p>
    <w:p>
      <w:pPr>
        <w:spacing w:line="560" w:lineRule="exact"/>
        <w:ind w:firstLine="643" w:firstLineChars="200"/>
        <w:rPr>
          <w:rFonts w:ascii="仿宋" w:hAnsi="仿宋" w:eastAsia="仿宋" w:cs="黑体"/>
          <w:b/>
          <w:bCs/>
          <w:sz w:val="32"/>
          <w:szCs w:val="32"/>
        </w:rPr>
      </w:pPr>
      <w:r>
        <w:rPr>
          <w:rFonts w:hint="eastAsia" w:ascii="仿宋" w:hAnsi="仿宋" w:eastAsia="仿宋" w:cs="黑体"/>
          <w:b/>
          <w:bCs/>
          <w:sz w:val="32"/>
          <w:szCs w:val="32"/>
        </w:rPr>
        <w:t>十二、预算绩效情况说明。</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根据财政预算绩效管理要求，我单位组织对2020年度一般公共预算项目支出全面开展绩效自评。</w:t>
      </w:r>
      <w:bookmarkStart w:id="107" w:name="_GoBack"/>
      <w:r>
        <w:rPr>
          <w:rFonts w:hint="eastAsia" w:ascii="仿宋" w:hAnsi="仿宋" w:eastAsia="仿宋" w:cs="仿宋"/>
          <w:kern w:val="0"/>
          <w:sz w:val="32"/>
          <w:szCs w:val="32"/>
          <w:shd w:val="clear" w:fill="FFFFFF"/>
        </w:rPr>
        <w:t>我单位无1000万以上的重点项目，本次选择</w:t>
      </w:r>
      <w:bookmarkEnd w:id="107"/>
      <w:r>
        <w:rPr>
          <w:rFonts w:hint="eastAsia" w:ascii="仿宋" w:hAnsi="仿宋" w:eastAsia="仿宋"/>
          <w:sz w:val="32"/>
          <w:szCs w:val="32"/>
        </w:rPr>
        <w:t>自评项目1个，设施维护与改造项目，涉及资金133.4万元，自评覆盖率达到100%。</w:t>
      </w:r>
    </w:p>
    <w:p>
      <w:pPr>
        <w:spacing w:line="560" w:lineRule="exact"/>
        <w:ind w:firstLine="640" w:firstLineChars="200"/>
        <w:rPr>
          <w:rFonts w:ascii="仿宋" w:hAnsi="仿宋" w:eastAsia="仿宋"/>
          <w:bCs/>
          <w:sz w:val="32"/>
          <w:szCs w:val="32"/>
        </w:rPr>
      </w:pPr>
      <w:r>
        <w:rPr>
          <w:rFonts w:hint="eastAsia" w:ascii="仿宋" w:hAnsi="仿宋" w:eastAsia="仿宋"/>
          <w:sz w:val="32"/>
          <w:szCs w:val="32"/>
        </w:rPr>
        <w:t>从评价情况来看，我所完成</w:t>
      </w:r>
      <w:r>
        <w:rPr>
          <w:rFonts w:hint="eastAsia" w:ascii="仿宋" w:hAnsi="仿宋" w:eastAsia="仿宋"/>
          <w:bCs/>
          <w:sz w:val="32"/>
          <w:szCs w:val="32"/>
        </w:rPr>
        <w:t>航道保护里程达119.5公里（沿海10.5公里，内河109公里）</w:t>
      </w:r>
      <w:r>
        <w:rPr>
          <w:rFonts w:hint="eastAsia" w:ascii="仿宋" w:hAnsi="仿宋" w:eastAsia="仿宋" w:cs="仿宋"/>
          <w:bCs/>
          <w:sz w:val="32"/>
          <w:szCs w:val="32"/>
        </w:rPr>
        <w:t>,</w:t>
      </w:r>
      <w:r>
        <w:rPr>
          <w:rFonts w:hint="eastAsia" w:ascii="仿宋" w:hAnsi="仿宋" w:eastAsia="仿宋"/>
          <w:bCs/>
          <w:sz w:val="32"/>
          <w:szCs w:val="32"/>
        </w:rPr>
        <w:t xml:space="preserve"> 清理碍航船舶及碍航物，监管沿海航道10.5公里</w:t>
      </w:r>
      <w:r>
        <w:rPr>
          <w:rFonts w:hint="eastAsia" w:ascii="仿宋" w:hAnsi="仿宋" w:eastAsia="仿宋" w:cs="仿宋"/>
          <w:bCs/>
          <w:sz w:val="32"/>
          <w:szCs w:val="32"/>
        </w:rPr>
        <w:t>。航道巡查出勤率达95%以上（洋浦港航道6次/月，等外级航道1次/月）；</w:t>
      </w:r>
      <w:r>
        <w:rPr>
          <w:rFonts w:hint="eastAsia" w:ascii="仿宋" w:hAnsi="仿宋" w:eastAsia="仿宋"/>
          <w:bCs/>
          <w:sz w:val="32"/>
          <w:szCs w:val="32"/>
        </w:rPr>
        <w:t>监管出勤率达95%以上；</w:t>
      </w:r>
      <w:r>
        <w:rPr>
          <w:rFonts w:hint="eastAsia" w:ascii="仿宋" w:hAnsi="仿宋" w:eastAsia="仿宋" w:cs="仿宋"/>
          <w:sz w:val="32"/>
          <w:szCs w:val="32"/>
        </w:rPr>
        <w:t>管理养护航标29座（大型导标4座、浮标13座、灯桩12）；航标维护符合航标管理办法和内河航道维护技术规范所要求的技术标准和质量标准，</w:t>
      </w:r>
      <w:r>
        <w:rPr>
          <w:rFonts w:hint="eastAsia" w:ascii="仿宋" w:hAnsi="仿宋" w:eastAsia="仿宋" w:cs="仿宋"/>
          <w:bCs/>
          <w:sz w:val="32"/>
          <w:szCs w:val="32"/>
        </w:rPr>
        <w:t>符合达标率98%；</w:t>
      </w:r>
      <w:r>
        <w:rPr>
          <w:rFonts w:hint="eastAsia" w:ascii="仿宋" w:hAnsi="仿宋" w:eastAsia="仿宋" w:cs="仿宋"/>
          <w:sz w:val="32"/>
          <w:szCs w:val="32"/>
        </w:rPr>
        <w:t>航标维护正常率达100%；确保航道畅通，得到海事、港口、引航等部门的好评。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根据财政预算绩效管理要求，我单位也组织对2020年度一般公共预算整体支出全面开展绩效自评，涉及资金270.04万元。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从评价情况来看，按照“三定”方案确定的工作职责，较好地完成了单位工作职责，整体支出实现了预期效果。2020年的整体支出进度达到100%，体现了预算编制的科学性和合理性，保障了我所正常工作的顺利开展，确保了航道的正常畅通，航标的正常发光。</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w:t>
      </w:r>
      <w:r>
        <w:rPr>
          <w:rFonts w:hint="eastAsia" w:ascii="楷体" w:hAnsi="楷体" w:eastAsia="楷体"/>
          <w:b/>
          <w:sz w:val="32"/>
          <w:szCs w:val="32"/>
        </w:rPr>
        <w:t>中项目</w:t>
      </w:r>
      <w:r>
        <w:rPr>
          <w:rFonts w:hint="eastAsia" w:ascii="楷体" w:hAnsi="楷体" w:eastAsia="楷体" w:cs="楷体"/>
          <w:b/>
          <w:sz w:val="32"/>
          <w:szCs w:val="32"/>
        </w:rPr>
        <w:t>绩效自评结果。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我单位今年在省本级部门决算中反映设施维护与改造项目绩效自评结果。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设施维护与改造项目绩效自评综述：根据年初设定的绩效目标，项目自评得分为100分。全年预算数为133.40万元，执行数为133.40万元，完成预算的100%。项目绩效目标完成情况：一是我所按照《中国海区水上助航标志》等有关技术规范及规定的要求管理养护。在航标维护工作中我所坚持日了望、周巡查、月测试、季保养、年轮换和台风前后检查修复的工作制度，确保了我所现有29座航标的位置正确、结构良好、安装牢固，航标外形尺寸符合规定、颜色鲜明、灯光明亮、灯质和视距符合要求；航标通视有效范围内无遮挡物。2020年航标维护正常率为100%；二是在航道管理工作中，我所除了按每月计划进行航道巡查外，还和海事、港口等部门形成了互通航道信息的工作机制，及时有效地处理了多起渔船占用航道的事件，有效保障了航道的畅通；三是我所航道航标管理工作有较完善的管理规章制度体系，包括了《航道养护管理规定》、《内河航道维护技术规范》、《中国海区水上助航标志》等相关规范以及我所制度的《航道巡查工作制度》、《航标检查工作制度》、《航标作业管理规则》、《船艇管理工作制度》等规章制度，同时我所还通过省局的航道养护检查考核，从而确保了我所设施维护与改造项目的顺利实施、完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发现的主要问题及原因：一是内控制度不完善；二是实施项目所需的专用设备缺乏，如缺乏浮标专用的投放、回收航标工作船，投放、回收相关的作业落后，安全性不足。航道工作艇抗浪性弱，工作海域适应性差；三是缺乏浮标保养的设备设施，在保养的质量、效率上仍需要提高；四是航道航标管理人员的综合水平有待提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下一步改进措施：一是加强内控制度建设，严格执行规章制度。在项目实施过程中，要严格执行相关的规章制度，发现问题的要及时改正，不断完善内控制度建设；二是节约成本，提高项目质量。在项目实施前期，项目资金达到政府采购限额标准要求的要走相关采购程序，没有达到限额标准的也要按内控制度要求，进行询价等方式，选择成本低质量优的进行项目实施；三是加强项目管理。不断完善项目管理制度建设，完善组织管理，责任到位，分工合作，严格按合同约定实施项目；四是确保廉政建设。在项目组织实施过程中，要加强廉政建设，确保项目廉洁高效，优质安全；五是做好安全生产工作。在项目实施过程中，要坚决贯彻“安全第一，预防为主”的方针，认真落实安全生产责任，切实做好安全生产工作。</w:t>
      </w:r>
    </w:p>
    <w:p>
      <w:pPr>
        <w:spacing w:line="560" w:lineRule="exact"/>
        <w:ind w:firstLine="640" w:firstLineChars="200"/>
        <w:rPr>
          <w:rFonts w:ascii="仿宋" w:hAnsi="仿宋" w:eastAsia="仿宋"/>
          <w:bCs/>
          <w:sz w:val="32"/>
          <w:szCs w:val="32"/>
        </w:rPr>
      </w:pPr>
      <w:r>
        <w:rPr>
          <w:rFonts w:hint="eastAsia" w:ascii="仿宋" w:hAnsi="仿宋" w:eastAsia="仿宋"/>
          <w:sz w:val="32"/>
          <w:szCs w:val="32"/>
        </w:rPr>
        <w:t>设施维护与改造项目绩效自评综述：</w:t>
      </w:r>
      <w:r>
        <w:rPr>
          <w:rFonts w:hint="eastAsia" w:ascii="仿宋" w:hAnsi="仿宋" w:eastAsia="仿宋"/>
          <w:bCs/>
          <w:sz w:val="32"/>
          <w:szCs w:val="32"/>
        </w:rPr>
        <w:t>航道保护里程达119.5公里（沿海10.5公里，内河109公里）</w:t>
      </w:r>
      <w:r>
        <w:rPr>
          <w:rFonts w:hint="eastAsia" w:ascii="仿宋" w:hAnsi="仿宋" w:eastAsia="仿宋" w:cs="仿宋"/>
          <w:bCs/>
          <w:sz w:val="32"/>
          <w:szCs w:val="32"/>
        </w:rPr>
        <w:t>,</w:t>
      </w:r>
      <w:r>
        <w:rPr>
          <w:rFonts w:hint="eastAsia" w:ascii="仿宋" w:hAnsi="仿宋" w:eastAsia="仿宋"/>
          <w:bCs/>
          <w:sz w:val="32"/>
          <w:szCs w:val="32"/>
        </w:rPr>
        <w:t xml:space="preserve"> 清理碍航船舶及碍航物，监管沿海航道10.5公里</w:t>
      </w:r>
      <w:r>
        <w:rPr>
          <w:rFonts w:hint="eastAsia" w:ascii="仿宋" w:hAnsi="仿宋" w:eastAsia="仿宋" w:cs="仿宋"/>
          <w:bCs/>
          <w:sz w:val="32"/>
          <w:szCs w:val="32"/>
        </w:rPr>
        <w:t>。航道巡查出勤率达95%以上（洋浦港航道6次/月，等外级航道1次/月）；</w:t>
      </w:r>
      <w:r>
        <w:rPr>
          <w:rFonts w:hint="eastAsia" w:ascii="仿宋" w:hAnsi="仿宋" w:eastAsia="仿宋"/>
          <w:bCs/>
          <w:sz w:val="32"/>
          <w:szCs w:val="32"/>
        </w:rPr>
        <w:t>监管出勤率达95%以上。</w:t>
      </w:r>
      <w:r>
        <w:rPr>
          <w:rFonts w:hint="eastAsia" w:ascii="仿宋" w:hAnsi="仿宋" w:eastAsia="仿宋" w:cs="仿宋"/>
          <w:sz w:val="32"/>
          <w:szCs w:val="32"/>
        </w:rPr>
        <w:t>管理养护航标29座（大型导标4座、浮标13座、灯桩12）；航标维护符合航标管理办法和内河航道维护技术规范所要求的技术标准和质量标准，</w:t>
      </w:r>
      <w:r>
        <w:rPr>
          <w:rFonts w:hint="eastAsia" w:ascii="仿宋" w:hAnsi="仿宋" w:eastAsia="仿宋" w:cs="仿宋"/>
          <w:bCs/>
          <w:sz w:val="32"/>
          <w:szCs w:val="32"/>
        </w:rPr>
        <w:t>符合达标率98%；</w:t>
      </w:r>
      <w:r>
        <w:rPr>
          <w:rFonts w:hint="eastAsia" w:ascii="仿宋" w:hAnsi="仿宋" w:eastAsia="仿宋" w:cs="仿宋"/>
          <w:sz w:val="32"/>
          <w:szCs w:val="32"/>
        </w:rPr>
        <w:t>航标维护正常率达100%；确保航道畅通，得到海事、港口、引航等部门的好评。</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（三）财政评价项目绩效评价结果。</w:t>
      </w:r>
    </w:p>
    <w:p>
      <w:pPr>
        <w:spacing w:line="578" w:lineRule="exact"/>
        <w:ind w:firstLine="640" w:firstLineChars="200"/>
        <w:rPr>
          <w:rFonts w:hint="eastAsia" w:ascii="仿宋" w:hAnsi="仿宋" w:eastAsia="仿宋" w:cs="楷体"/>
          <w:sz w:val="32"/>
          <w:szCs w:val="32"/>
        </w:rPr>
      </w:pPr>
      <w:r>
        <w:rPr>
          <w:rFonts w:hint="eastAsia" w:ascii="仿宋" w:hAnsi="仿宋" w:eastAsia="仿宋" w:cs="楷体"/>
          <w:sz w:val="32"/>
          <w:szCs w:val="32"/>
        </w:rPr>
        <w:t>此项工作由财政开展，结果未出 ，此次不予公开。</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left="0" w:firstLine="640" w:firstLineChars="200"/>
        <w:rPr>
          <w:rFonts w:hint="eastAsia" w:ascii="仿宋" w:hAnsi="仿宋" w:eastAsia="仿宋" w:cs="Times New Roman"/>
          <w:sz w:val="32"/>
          <w:szCs w:val="32"/>
        </w:rPr>
      </w:pPr>
      <w:r>
        <w:rPr>
          <w:rFonts w:hint="eastAsia" w:ascii="仿宋" w:hAnsi="仿宋" w:eastAsia="仿宋" w:cs="仿宋"/>
          <w:color w:val="000000"/>
          <w:kern w:val="0"/>
          <w:sz w:val="32"/>
          <w:szCs w:val="32"/>
        </w:rPr>
        <w:t>我单位无此项内容。我们是</w:t>
      </w:r>
      <w:r>
        <w:rPr>
          <w:rFonts w:hint="eastAsia" w:ascii="仿宋" w:hAnsi="仿宋" w:eastAsia="仿宋" w:cs="仿宋"/>
          <w:color w:val="000000"/>
          <w:kern w:val="0"/>
          <w:sz w:val="32"/>
          <w:szCs w:val="32"/>
          <w:lang w:val="en-US" w:eastAsia="zh-CN"/>
        </w:rPr>
        <w:t>三</w:t>
      </w:r>
      <w:r>
        <w:rPr>
          <w:rFonts w:hint="eastAsia" w:ascii="仿宋" w:hAnsi="仿宋" w:eastAsia="仿宋" w:cs="仿宋"/>
          <w:color w:val="000000"/>
          <w:kern w:val="0"/>
          <w:sz w:val="32"/>
          <w:szCs w:val="32"/>
        </w:rPr>
        <w:t>级单位，不开展部门绩效评价。</w:t>
      </w:r>
    </w:p>
    <w:p>
      <w:pPr>
        <w:spacing w:line="560" w:lineRule="exact"/>
        <w:ind w:firstLine="643" w:firstLineChars="200"/>
        <w:rPr>
          <w:rFonts w:ascii="仿宋" w:hAnsi="仿宋" w:eastAsia="仿宋" w:cs="黑体"/>
          <w:b/>
          <w:bCs/>
          <w:sz w:val="32"/>
          <w:szCs w:val="32"/>
        </w:rPr>
      </w:pPr>
      <w:r>
        <w:rPr>
          <w:rFonts w:hint="eastAsia" w:ascii="仿宋" w:hAnsi="仿宋" w:eastAsia="仿宋" w:cs="黑体"/>
          <w:b/>
          <w:bCs/>
          <w:sz w:val="32"/>
          <w:szCs w:val="32"/>
        </w:rPr>
        <w:t>十三、其他重要事项情况说明。</w:t>
      </w:r>
    </w:p>
    <w:p>
      <w:pPr>
        <w:spacing w:line="560" w:lineRule="exact"/>
        <w:ind w:firstLine="643" w:firstLineChars="200"/>
        <w:rPr>
          <w:rFonts w:ascii="楷体" w:hAnsi="楷体" w:eastAsia="楷体" w:cs="楷体"/>
          <w:b/>
          <w:sz w:val="32"/>
          <w:szCs w:val="32"/>
        </w:rPr>
      </w:pPr>
      <w:bookmarkStart w:id="83" w:name="_Toc32639_WPSOffice_Level2"/>
      <w:bookmarkStart w:id="84" w:name="_Toc23598_WPSOffice_Level2"/>
      <w:bookmarkStart w:id="85" w:name="_Toc5978_WPSOffice_Level2"/>
      <w:bookmarkStart w:id="86" w:name="_Toc15262_WPSOffice_Level2"/>
      <w:bookmarkStart w:id="87" w:name="_Toc15565_WPSOffice_Level2"/>
      <w:bookmarkStart w:id="88" w:name="_Toc18325_WPSOffice_Level2"/>
      <w:r>
        <w:rPr>
          <w:rFonts w:hint="eastAsia" w:ascii="楷体" w:hAnsi="楷体" w:eastAsia="楷体" w:cs="楷体"/>
          <w:b/>
          <w:sz w:val="32"/>
          <w:szCs w:val="32"/>
        </w:rPr>
        <w:t>（一）机关运行经费支出情况。</w:t>
      </w:r>
      <w:bookmarkEnd w:id="83"/>
      <w:bookmarkEnd w:id="84"/>
      <w:bookmarkEnd w:id="85"/>
      <w:bookmarkEnd w:id="86"/>
      <w:bookmarkEnd w:id="87"/>
      <w:bookmarkEnd w:id="88"/>
    </w:p>
    <w:p>
      <w:pPr>
        <w:spacing w:line="560" w:lineRule="exact"/>
        <w:ind w:firstLine="640" w:firstLineChars="200"/>
        <w:rPr>
          <w:rFonts w:ascii="仿宋" w:hAnsi="仿宋" w:eastAsia="仿宋"/>
          <w:sz w:val="32"/>
          <w:szCs w:val="32"/>
        </w:rPr>
      </w:pPr>
      <w:r>
        <w:rPr>
          <w:rFonts w:hint="eastAsia" w:ascii="仿宋" w:hAnsi="仿宋" w:eastAsia="仿宋"/>
          <w:sz w:val="32"/>
          <w:szCs w:val="32"/>
        </w:rPr>
        <w:t>无</w:t>
      </w:r>
    </w:p>
    <w:p>
      <w:pPr>
        <w:spacing w:line="560" w:lineRule="exact"/>
        <w:ind w:firstLine="643" w:firstLineChars="200"/>
        <w:rPr>
          <w:rFonts w:ascii="楷体" w:hAnsi="楷体" w:eastAsia="楷体" w:cs="楷体"/>
          <w:b/>
          <w:sz w:val="32"/>
          <w:szCs w:val="32"/>
        </w:rPr>
      </w:pPr>
      <w:bookmarkStart w:id="89" w:name="_Toc32689_WPSOffice_Level2"/>
      <w:bookmarkStart w:id="90" w:name="_Toc13084_WPSOffice_Level2"/>
      <w:bookmarkStart w:id="91" w:name="_Toc23966_WPSOffice_Level2"/>
      <w:bookmarkStart w:id="92" w:name="_Toc30383_WPSOffice_Level2"/>
      <w:bookmarkStart w:id="93" w:name="_Toc3131_WPSOffice_Level2"/>
      <w:bookmarkStart w:id="94" w:name="_Toc25333_WPSOffice_Level2"/>
      <w:r>
        <w:rPr>
          <w:rFonts w:hint="eastAsia" w:ascii="楷体" w:hAnsi="楷体" w:eastAsia="楷体" w:cs="楷体"/>
          <w:b/>
          <w:sz w:val="32"/>
          <w:szCs w:val="32"/>
        </w:rPr>
        <w:t>（二）政府采购支出情况。</w:t>
      </w:r>
      <w:bookmarkEnd w:id="89"/>
      <w:bookmarkEnd w:id="90"/>
      <w:bookmarkEnd w:id="91"/>
      <w:bookmarkEnd w:id="92"/>
      <w:bookmarkEnd w:id="93"/>
      <w:bookmarkEnd w:id="94"/>
    </w:p>
    <w:p>
      <w:pPr>
        <w:spacing w:line="560" w:lineRule="exact"/>
        <w:ind w:firstLine="640" w:firstLineChars="200"/>
        <w:rPr>
          <w:rFonts w:ascii="仿宋" w:hAnsi="仿宋" w:eastAsia="仿宋"/>
          <w:sz w:val="32"/>
          <w:szCs w:val="32"/>
        </w:rPr>
      </w:pPr>
      <w:r>
        <w:rPr>
          <w:rFonts w:hint="eastAsia" w:ascii="仿宋" w:hAnsi="仿宋" w:eastAsia="仿宋"/>
          <w:sz w:val="32"/>
          <w:szCs w:val="32"/>
        </w:rPr>
        <w:t>2020年度我单位政府采购支出总额19.2万元，其中：政府采购货物支出19.2万元、政府采购工程支出0万元、政府采购服务支出0万元。授予中小企业合同金额0万元。其中：授予小</w:t>
      </w:r>
      <w:r>
        <w:rPr>
          <w:rStyle w:val="14"/>
          <w:rFonts w:hint="eastAsia" w:ascii="仿宋" w:hAnsi="仿宋" w:eastAsia="仿宋"/>
          <w:sz w:val="32"/>
          <w:szCs w:val="32"/>
        </w:rPr>
        <w:t>微企业</w:t>
      </w:r>
      <w:r>
        <w:rPr>
          <w:rFonts w:hint="eastAsia" w:ascii="仿宋" w:hAnsi="仿宋" w:eastAsia="仿宋"/>
          <w:sz w:val="32"/>
          <w:szCs w:val="32"/>
        </w:rPr>
        <w:t>合同金额0万元，占政府采购支出总额的0%。</w:t>
      </w:r>
    </w:p>
    <w:p>
      <w:pPr>
        <w:spacing w:line="560" w:lineRule="exact"/>
        <w:ind w:firstLine="643" w:firstLineChars="200"/>
        <w:rPr>
          <w:rFonts w:ascii="楷体" w:hAnsi="楷体" w:eastAsia="楷体" w:cs="楷体"/>
          <w:b/>
          <w:sz w:val="32"/>
          <w:szCs w:val="32"/>
        </w:rPr>
      </w:pPr>
      <w:bookmarkStart w:id="95" w:name="_Toc527_WPSOffice_Level2"/>
      <w:bookmarkStart w:id="96" w:name="_Toc29584_WPSOffice_Level2"/>
      <w:bookmarkStart w:id="97" w:name="_Toc19989_WPSOffice_Level2"/>
      <w:bookmarkStart w:id="98" w:name="_Toc10902_WPSOffice_Level2"/>
      <w:bookmarkStart w:id="99" w:name="_Toc6016_WPSOffice_Level2"/>
      <w:bookmarkStart w:id="100" w:name="_Toc15129_WPSOffice_Level2"/>
      <w:r>
        <w:rPr>
          <w:rFonts w:hint="eastAsia" w:ascii="楷体" w:hAnsi="楷体" w:eastAsia="楷体" w:cs="楷体"/>
          <w:b/>
          <w:sz w:val="32"/>
          <w:szCs w:val="32"/>
        </w:rPr>
        <w:t>（三）国有资产占用情况。</w:t>
      </w:r>
      <w:bookmarkEnd w:id="95"/>
      <w:bookmarkEnd w:id="96"/>
      <w:bookmarkEnd w:id="97"/>
      <w:bookmarkEnd w:id="98"/>
      <w:bookmarkEnd w:id="99"/>
      <w:bookmarkEnd w:id="100"/>
    </w:p>
    <w:p>
      <w:pPr>
        <w:spacing w:line="560" w:lineRule="exact"/>
        <w:ind w:firstLine="640" w:firstLineChars="200"/>
        <w:rPr>
          <w:rFonts w:ascii="仿宋" w:hAnsi="仿宋" w:eastAsia="仿宋"/>
          <w:sz w:val="32"/>
          <w:szCs w:val="32"/>
        </w:rPr>
      </w:pPr>
      <w:r>
        <w:rPr>
          <w:rFonts w:hint="eastAsia" w:ascii="仿宋" w:hAnsi="仿宋" w:eastAsia="仿宋"/>
          <w:sz w:val="32"/>
          <w:szCs w:val="32"/>
        </w:rPr>
        <w:t>截至2020年12月31日，本部门占用房屋面积473.58平方米，其中：办公用房330.5平方米，业务用房0平方米，其他（不含构筑物）143.08平方米。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单位共有车辆1辆，其中：从车辆种类说明：轿车1辆、越野车0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1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单位价值50万元（含）以上通用设备0台（套），单价100万元（含）以上专用设备0台（套）。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年末在建工程0.00万元。</w:t>
      </w:r>
    </w:p>
    <w:p>
      <w:pPr>
        <w:spacing w:line="560" w:lineRule="exact"/>
        <w:ind w:firstLine="640" w:firstLineChars="200"/>
        <w:rPr>
          <w:rFonts w:ascii="仿宋" w:hAnsi="仿宋" w:eastAsia="仿宋"/>
          <w:sz w:val="32"/>
          <w:szCs w:val="32"/>
        </w:rPr>
      </w:pPr>
    </w:p>
    <w:p>
      <w:pPr>
        <w:spacing w:line="560" w:lineRule="exact"/>
        <w:jc w:val="center"/>
        <w:rPr>
          <w:rFonts w:ascii="黑体" w:hAnsi="黑体" w:eastAsia="黑体"/>
          <w:b/>
          <w:sz w:val="32"/>
          <w:szCs w:val="32"/>
        </w:rPr>
      </w:pPr>
      <w:bookmarkStart w:id="101" w:name="_Toc8874_WPSOffice_Level1"/>
      <w:bookmarkStart w:id="102" w:name="_Toc4398_WPSOffice_Level1"/>
      <w:bookmarkStart w:id="103" w:name="_Toc11039_WPSOffice_Level1"/>
      <w:bookmarkStart w:id="104" w:name="_Toc17580_WPSOffice_Level1"/>
      <w:bookmarkStart w:id="105" w:name="_Toc15425_WPSOffice_Level1"/>
      <w:bookmarkStart w:id="106" w:name="_Toc8808_WPSOffice_Level1"/>
      <w:r>
        <w:rPr>
          <w:rFonts w:hint="eastAsia" w:ascii="黑体" w:hAnsi="黑体" w:eastAsia="黑体"/>
          <w:b/>
          <w:sz w:val="32"/>
          <w:szCs w:val="32"/>
        </w:rPr>
        <w:t>第四部分  名词解释</w:t>
      </w:r>
      <w:bookmarkEnd w:id="101"/>
      <w:bookmarkEnd w:id="102"/>
      <w:bookmarkEnd w:id="103"/>
      <w:bookmarkEnd w:id="104"/>
      <w:bookmarkEnd w:id="105"/>
      <w:bookmarkEnd w:id="106"/>
    </w:p>
    <w:p>
      <w:pPr>
        <w:spacing w:line="560" w:lineRule="exact"/>
        <w:jc w:val="center"/>
        <w:rPr>
          <w:rFonts w:ascii="仿宋" w:hAnsi="仿宋" w:eastAsia="仿宋"/>
          <w:b/>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一、财政拨款收入：指本级财政当年拨付的资金。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二、事业收入：指事业单位开展专业业务活动及辅助活动取得的收入。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三、经营收入：指事业单位在专业业务活动及其辅助活动之外开展非独立核算经营活动取得的收入。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四、其他收入：指除上述“财政拨款收入”“事业收入”“经营收入”等以外的收入。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五、使用非财政拨款结余：指事业单位按照预算管理要求使用非财政拨款结余弥补收支差额的金额。</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六、年初结转和结余：指以前年度尚未完成、结转到本年按有关规定继续使用的资金。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七、结余分配：指事业单位按规定提取的职工福利基金、事业基金和缴纳的所得税，以及建设单位按规定应交回的基本建设竣工项目结余资金。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八、年末结转和结余：指本年度或以前年度预算安排、因客观条件发生变化无法按原计划实施，需要延迟到以后年度按有关规定继续使用的资金。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九、基本支出：指为保障机构正常运转、完成日常工作任务而发生的人员支出和公用支出。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十、项目支出：指在基本支出之外为完成特定行政任务和事业发展目标所发生的支出。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十一、经营支出：指事业单位在专业业务活动及其辅助活动之外开展非独立核算经营活动发生的支出。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十二、“三公”经费：纳入本级财政预决算管理的“三公”经费，是指本级部门用一般公共预算</w:t>
      </w:r>
      <w:r>
        <w:rPr>
          <w:rStyle w:val="14"/>
          <w:rFonts w:hint="eastAsia" w:ascii="仿宋" w:hAnsi="仿宋" w:eastAsia="仿宋"/>
          <w:sz w:val="32"/>
          <w:szCs w:val="32"/>
        </w:rPr>
        <w:t>财政财政</w:t>
      </w:r>
      <w:r>
        <w:rPr>
          <w:rFonts w:hint="eastAsia" w:ascii="仿宋" w:hAnsi="仿宋" w:eastAsia="仿宋"/>
          <w:sz w:val="32"/>
          <w:szCs w:val="32"/>
        </w:rPr>
        <w:t>拨款安排的因公出国（境）费、公务用车购置及运行费和公务接待费。其中，因公出国（境）</w:t>
      </w:r>
      <w:r>
        <w:rPr>
          <w:rStyle w:val="14"/>
          <w:rFonts w:hint="eastAsia" w:ascii="仿宋" w:hAnsi="仿宋" w:eastAsia="仿宋"/>
          <w:sz w:val="32"/>
          <w:szCs w:val="32"/>
        </w:rPr>
        <w:t>费反映</w:t>
      </w:r>
      <w:r>
        <w:rPr>
          <w:rFonts w:hint="eastAsia" w:ascii="仿宋" w:hAnsi="仿宋" w:eastAsia="仿宋"/>
          <w:sz w:val="32"/>
          <w:szCs w:val="32"/>
        </w:rPr>
        <w:t>单位公务出国（境）的国际旅费、国外城市间交通费、住宿费、伙食费、培训费、公杂费等支出；公务用车购置及运行</w:t>
      </w:r>
      <w:r>
        <w:rPr>
          <w:rStyle w:val="14"/>
          <w:rFonts w:hint="eastAsia" w:ascii="仿宋" w:hAnsi="仿宋" w:eastAsia="仿宋"/>
          <w:sz w:val="32"/>
          <w:szCs w:val="32"/>
        </w:rPr>
        <w:t>费反映</w:t>
      </w:r>
      <w:r>
        <w:rPr>
          <w:rFonts w:hint="eastAsia" w:ascii="仿宋" w:hAnsi="仿宋" w:eastAsia="仿宋"/>
          <w:sz w:val="32"/>
          <w:szCs w:val="32"/>
        </w:rPr>
        <w:t>单位公务用车车辆购置支出（</w:t>
      </w:r>
      <w:r>
        <w:rPr>
          <w:rStyle w:val="14"/>
          <w:rFonts w:hint="eastAsia" w:ascii="仿宋" w:hAnsi="仿宋" w:eastAsia="仿宋"/>
          <w:sz w:val="32"/>
          <w:szCs w:val="32"/>
        </w:rPr>
        <w:t>含车辆</w:t>
      </w:r>
      <w:r>
        <w:rPr>
          <w:rFonts w:hint="eastAsia" w:ascii="仿宋" w:hAnsi="仿宋" w:eastAsia="仿宋"/>
          <w:sz w:val="32"/>
          <w:szCs w:val="32"/>
        </w:rPr>
        <w:t>购置税）及租用费、燃料费、维修费、过路过桥费、保险费、安全奖励费用等支出；公务接待</w:t>
      </w:r>
      <w:r>
        <w:rPr>
          <w:rStyle w:val="14"/>
          <w:rFonts w:hint="eastAsia" w:ascii="仿宋" w:hAnsi="仿宋" w:eastAsia="仿宋"/>
          <w:sz w:val="32"/>
          <w:szCs w:val="32"/>
        </w:rPr>
        <w:t>费反映</w:t>
      </w:r>
      <w:r>
        <w:rPr>
          <w:rFonts w:hint="eastAsia" w:ascii="仿宋" w:hAnsi="仿宋" w:eastAsia="仿宋"/>
          <w:sz w:val="32"/>
          <w:szCs w:val="32"/>
        </w:rPr>
        <w:t>单位按规定开支的各类公务接待（含外宾接待）支出。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5"/>
        <w:rPr>
          <w:rFonts w:ascii="仿宋" w:hAnsi="仿宋" w:eastAsia="仿宋"/>
          <w:sz w:val="32"/>
          <w:szCs w:val="32"/>
        </w:rPr>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09F8D"/>
    <w:multiLevelType w:val="singleLevel"/>
    <w:tmpl w:val="72109F8D"/>
    <w:lvl w:ilvl="0" w:tentative="0">
      <w:start w:val="7"/>
      <w:numFmt w:val="chineseCounting"/>
      <w:suff w:val="nothing"/>
      <w:lvlText w:val="%1、"/>
      <w:lvlJc w:val="left"/>
      <w:pPr>
        <w:ind w:left="0" w:firstLine="0"/>
      </w:pPr>
    </w:lvl>
  </w:abstractNum>
  <w:num w:numId="1">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8765F2"/>
    <w:rsid w:val="00096D0C"/>
    <w:rsid w:val="000C10B1"/>
    <w:rsid w:val="002173F7"/>
    <w:rsid w:val="003F583F"/>
    <w:rsid w:val="00433EFC"/>
    <w:rsid w:val="0052312C"/>
    <w:rsid w:val="005F222E"/>
    <w:rsid w:val="007E72C4"/>
    <w:rsid w:val="008211B9"/>
    <w:rsid w:val="008765F2"/>
    <w:rsid w:val="008968AA"/>
    <w:rsid w:val="008E3B1E"/>
    <w:rsid w:val="009E2125"/>
    <w:rsid w:val="00A161BC"/>
    <w:rsid w:val="00A87FF9"/>
    <w:rsid w:val="00B42B22"/>
    <w:rsid w:val="00D16701"/>
    <w:rsid w:val="00F850CE"/>
    <w:rsid w:val="00FA73F5"/>
    <w:rsid w:val="0DD23A6B"/>
    <w:rsid w:val="12431DD2"/>
    <w:rsid w:val="189363B0"/>
    <w:rsid w:val="1EEC1C37"/>
    <w:rsid w:val="209B5643"/>
    <w:rsid w:val="24F53AE4"/>
    <w:rsid w:val="300F54EF"/>
    <w:rsid w:val="55C37F79"/>
    <w:rsid w:val="662B5DEB"/>
    <w:rsid w:val="6BFA023E"/>
    <w:rsid w:val="6EF525C1"/>
    <w:rsid w:val="72A641CD"/>
    <w:rsid w:val="7A0E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character" w:customStyle="1" w:styleId="8">
    <w:name w:val="页眉 Char"/>
    <w:basedOn w:val="5"/>
    <w:link w:val="3"/>
    <w:semiHidden/>
    <w:qFormat/>
    <w:locked/>
    <w:uiPriority w:val="99"/>
    <w:rPr>
      <w:rFonts w:hint="eastAsia" w:ascii="宋体" w:hAnsi="宋体" w:eastAsia="宋体" w:cs="宋体"/>
      <w:sz w:val="18"/>
      <w:szCs w:val="18"/>
    </w:rPr>
  </w:style>
  <w:style w:type="character" w:customStyle="1" w:styleId="9">
    <w:name w:val="页脚 Char"/>
    <w:basedOn w:val="5"/>
    <w:link w:val="2"/>
    <w:semiHidden/>
    <w:qFormat/>
    <w:locked/>
    <w:uiPriority w:val="99"/>
    <w:rPr>
      <w:rFonts w:hint="eastAsia" w:ascii="宋体" w:hAnsi="宋体" w:eastAsia="宋体" w:cs="宋体"/>
      <w:sz w:val="18"/>
      <w:szCs w:val="18"/>
    </w:rPr>
  </w:style>
  <w:style w:type="paragraph" w:customStyle="1" w:styleId="10">
    <w:name w:val="wpsoffice1"/>
    <w:basedOn w:val="1"/>
    <w:qFormat/>
    <w:uiPriority w:val="0"/>
    <w:pPr>
      <w:spacing w:before="100" w:beforeAutospacing="1" w:after="100" w:afterAutospacing="1"/>
    </w:pPr>
  </w:style>
  <w:style w:type="paragraph" w:customStyle="1" w:styleId="11">
    <w:name w:val="wpsoffice2"/>
    <w:basedOn w:val="1"/>
    <w:qFormat/>
    <w:uiPriority w:val="0"/>
    <w:pPr>
      <w:spacing w:before="100" w:beforeAutospacing="1" w:after="100" w:afterAutospacing="1"/>
    </w:pPr>
  </w:style>
  <w:style w:type="paragraph" w:customStyle="1" w:styleId="12">
    <w:name w:val="WPSOffice手动目录 1"/>
    <w:qFormat/>
    <w:uiPriority w:val="0"/>
    <w:rPr>
      <w:rFonts w:ascii="Times New Roman" w:hAnsi="Times New Roman" w:eastAsia="宋体" w:cs="Times New Roman"/>
      <w:lang w:val="en-US" w:eastAsia="zh-CN" w:bidi="ar-SA"/>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4">
    <w:name w:val="gram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A8623-190D-4C39-B849-35ACF69F4A9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7009</Words>
  <Characters>7610</Characters>
  <Lines>64</Lines>
  <Paragraphs>18</Paragraphs>
  <TotalTime>0</TotalTime>
  <ScaleCrop>false</ScaleCrop>
  <LinksUpToDate>false</LinksUpToDate>
  <CharactersWithSpaces>7708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2021-08-27T10:28:00Z</dcterms:created>
  <dc:creator>省港航管理局</dc:creator>
  <cp:lastModifiedBy>Administrator</cp:lastModifiedBy>
  <dcterms:modified xsi:type="dcterms:W3CDTF">2022-09-06T08:33:01Z</dcterms:modified>
  <dc:title>DWZDM</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09679C04B97D47A5974697838CDA169E</vt:lpwstr>
  </property>
</Properties>
</file>