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52"/>
          <w:szCs w:val="52"/>
        </w:rPr>
      </w:pPr>
      <w:bookmarkStart w:id="3" w:name="_GoBack"/>
      <w:bookmarkEnd w:id="3"/>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2022年海南省马村航道所预算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海南省马村航道所概况</w:t>
      </w:r>
    </w:p>
    <w:p>
      <w:pPr>
        <w:pStyle w:val="6"/>
        <w:ind w:firstLine="0" w:firstLineChars="0"/>
        <w:jc w:val="left"/>
        <w:rPr>
          <w:rFonts w:hint="eastAsia" w:ascii="黑体" w:hAnsi="黑体" w:eastAsia="黑体"/>
          <w:sz w:val="32"/>
          <w:szCs w:val="32"/>
        </w:rPr>
      </w:pPr>
      <w:r>
        <w:rPr>
          <w:rFonts w:hint="eastAsia" w:ascii="黑体" w:hAnsi="黑体" w:eastAsia="黑体"/>
          <w:sz w:val="32"/>
          <w:szCs w:val="32"/>
        </w:rPr>
        <w:t>一、主要职能</w:t>
      </w:r>
    </w:p>
    <w:p>
      <w:pPr>
        <w:pStyle w:val="6"/>
        <w:ind w:firstLine="0" w:firstLineChars="0"/>
        <w:jc w:val="left"/>
        <w:rPr>
          <w:rFonts w:ascii="黑体" w:hAnsi="黑体" w:eastAsia="黑体"/>
          <w:sz w:val="32"/>
          <w:szCs w:val="32"/>
        </w:rPr>
      </w:pPr>
      <w:r>
        <w:rPr>
          <w:rFonts w:hint="eastAsia" w:ascii="黑体" w:hAnsi="黑体" w:eastAsia="黑体"/>
          <w:sz w:val="32"/>
          <w:szCs w:val="32"/>
        </w:rPr>
        <w:t>二、机构设置情况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海南省马村航道所2022年单位预算表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海南省马村航道所2022年单位预算情况说明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海南省马村航道所概况</w:t>
      </w:r>
    </w:p>
    <w:p>
      <w:pPr>
        <w:jc w:val="left"/>
        <w:rPr>
          <w:rFonts w:ascii="仿宋_GB2312" w:hAnsi="仿宋_GB2312" w:eastAsia="仿宋_GB2312" w:cs="仿宋_GB2312"/>
          <w:sz w:val="32"/>
          <w:szCs w:val="32"/>
        </w:rPr>
      </w:pPr>
    </w:p>
    <w:p>
      <w:pPr>
        <w:pStyle w:val="6"/>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ind w:firstLine="579" w:firstLineChars="181"/>
        <w:rPr>
          <w:rFonts w:ascii="仿宋_GB2312" w:hAnsi="黑体" w:eastAsia="仿宋_GB2312" w:cs="仿宋_GB2312"/>
          <w:bCs/>
          <w:sz w:val="32"/>
          <w:szCs w:val="32"/>
        </w:rPr>
      </w:pPr>
      <w:r>
        <w:rPr>
          <w:rFonts w:hint="eastAsia" w:ascii="仿宋_GB2312" w:hAnsi="黑体" w:eastAsia="仿宋_GB2312"/>
          <w:sz w:val="32"/>
          <w:szCs w:val="32"/>
        </w:rPr>
        <w:t>海南省马村航道所隶属海南省港航管理局，是从事公益服务的公益一类事业单位，正科级财政预算管理单位。</w:t>
      </w:r>
      <w:r>
        <w:rPr>
          <w:rFonts w:hint="eastAsia" w:ascii="仿宋_GB2312" w:hAnsi="仿宋_GB2312" w:eastAsia="仿宋_GB2312" w:cs="仿宋_GB2312"/>
          <w:sz w:val="32"/>
          <w:szCs w:val="32"/>
        </w:rPr>
        <w:t>海南省马村航道所（原金牌航道所）成立于1995年, 编</w:t>
      </w:r>
      <w:r>
        <w:rPr>
          <w:rFonts w:hint="eastAsia" w:ascii="仿宋_GB2312" w:hAnsi="黑体" w:eastAsia="仿宋_GB2312" w:cs="仿宋_GB2312"/>
          <w:bCs/>
          <w:sz w:val="32"/>
          <w:szCs w:val="32"/>
        </w:rPr>
        <w:t>办批复〔1995〕2号文，定编文件号为琼编【2002】119号，2016年9月份经省编办更名为海南省马村航道所。</w:t>
      </w:r>
    </w:p>
    <w:p>
      <w:pPr>
        <w:ind w:firstLine="579" w:firstLineChars="181"/>
        <w:rPr>
          <w:rFonts w:hint="eastAsia" w:ascii="仿宋_GB2312" w:hAnsi="黑体" w:eastAsia="仿宋_GB2312" w:cs="仿宋_GB2312"/>
          <w:bCs/>
          <w:sz w:val="32"/>
          <w:szCs w:val="32"/>
        </w:rPr>
      </w:pPr>
      <w:r>
        <w:rPr>
          <w:rFonts w:hint="eastAsia" w:ascii="仿宋_GB2312" w:hAnsi="黑体" w:eastAsia="仿宋_GB2312"/>
          <w:sz w:val="32"/>
          <w:szCs w:val="32"/>
        </w:rPr>
        <w:t>其主要职责：</w:t>
      </w:r>
      <w:r>
        <w:rPr>
          <w:rFonts w:hint="eastAsia" w:ascii="仿宋_GB2312" w:hAnsi="宋体" w:eastAsia="仿宋_GB2312" w:cs="宋体"/>
          <w:color w:val="000000"/>
          <w:kern w:val="0"/>
          <w:sz w:val="32"/>
          <w:szCs w:val="30"/>
        </w:rPr>
        <w:t>贯彻执行国家和我省航道管理养护法律法规、政策及工作计划，具体实施上级交通航道管理部门工作任务;对管辖航道进行养护管理，保证航道畅通；对管辖航标进行养护管理，保证航标发光正常；对管辖航道及航标进行测量和定位；</w:t>
      </w:r>
      <w:r>
        <w:rPr>
          <w:rFonts w:hint="eastAsia" w:ascii="仿宋_GB2312" w:hAnsi="黑体" w:eastAsia="仿宋_GB2312" w:cs="仿宋_GB2312"/>
          <w:bCs/>
          <w:sz w:val="32"/>
          <w:szCs w:val="32"/>
        </w:rPr>
        <w:t>根据法律法规规定和授权，我所负责管理和养护,航标9座(博丛灯桩、厚咀灯桩、新盈前导灯桩、新盈后导灯桩、金牌灯桩、道潦灯桩、金牌港3座水上浮标)马村港、金牌港沿海航道12.36公里,南渡江屯昌段内河航道72.5公里。</w:t>
      </w:r>
    </w:p>
    <w:p>
      <w:pPr>
        <w:ind w:firstLine="579" w:firstLineChars="181"/>
        <w:rPr>
          <w:rFonts w:hint="eastAsia" w:ascii="仿宋_GB2312" w:hAnsi="黑体" w:eastAsia="仿宋_GB2312" w:cs="仿宋_GB2312"/>
          <w:bCs/>
          <w:sz w:val="32"/>
          <w:szCs w:val="32"/>
        </w:rPr>
      </w:pPr>
      <w:r>
        <w:rPr>
          <w:rFonts w:hint="eastAsia" w:ascii="仿宋_GB2312" w:hAnsi="黑体" w:eastAsia="仿宋_GB2312" w:cs="仿宋_GB2312"/>
          <w:bCs/>
          <w:sz w:val="32"/>
          <w:szCs w:val="32"/>
        </w:rPr>
        <w:t>二、机构设置情况</w:t>
      </w:r>
    </w:p>
    <w:p>
      <w:pPr>
        <w:ind w:firstLine="480" w:firstLineChars="150"/>
        <w:rPr>
          <w:rFonts w:ascii="Times New Roman" w:hAnsi="Times New Roman" w:eastAsia="仿宋_GB2312" w:cs="Times New Roman"/>
          <w:sz w:val="32"/>
          <w:shd w:val="clear" w:color="auto" w:fill="FFFFFF"/>
        </w:rPr>
      </w:pPr>
      <w:r>
        <w:rPr>
          <w:rFonts w:hint="eastAsia" w:ascii="仿宋_GB2312" w:hAnsi="黑体" w:eastAsia="仿宋_GB2312" w:cs="仿宋_GB2312"/>
          <w:bCs/>
          <w:sz w:val="32"/>
          <w:szCs w:val="32"/>
        </w:rPr>
        <w:t>马村航道所内设</w:t>
      </w:r>
      <w:r>
        <w:rPr>
          <w:rFonts w:hint="eastAsia" w:ascii="Times New Roman" w:hAnsi="Times New Roman" w:eastAsia="仿宋_GB2312" w:cs="Times New Roman"/>
          <w:sz w:val="32"/>
          <w:shd w:val="clear" w:color="auto" w:fill="FFFFFF"/>
        </w:rPr>
        <w:t>所长室、财务室、航道航标室、综合办公室。</w:t>
      </w:r>
    </w:p>
    <w:p>
      <w:pPr>
        <w:ind w:firstLine="579" w:firstLineChars="181"/>
        <w:rPr>
          <w:rFonts w:ascii="仿宋_GB2312" w:hAnsi="黑体" w:eastAsia="仿宋_GB2312" w:cs="仿宋_GB2312"/>
          <w:bCs/>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海南省马村航道所</w:t>
      </w:r>
      <w:r>
        <w:rPr>
          <w:rFonts w:hint="eastAsia" w:ascii="仿宋_GB2312" w:hAnsi="黑体" w:eastAsia="仿宋_GB2312" w:cs="仿宋_GB2312"/>
          <w:sz w:val="32"/>
          <w:szCs w:val="32"/>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海南省马村航道所</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一、关于海南省马村航道所</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2年财政拨款收支总预算349.35万元。</w:t>
      </w:r>
      <w:r>
        <w:rPr>
          <w:rFonts w:hint="eastAsia" w:ascii="仿宋_GB2312" w:hAnsi="宋体" w:eastAsia="仿宋_GB2312" w:cs="宋体"/>
          <w:color w:val="000000"/>
          <w:kern w:val="0"/>
          <w:sz w:val="32"/>
          <w:szCs w:val="30"/>
        </w:rPr>
        <w:t>比上年预算数215.42万元增加133.93万元，主要是接收工程队和测量队划转人员13名，人员经费增加。</w:t>
      </w:r>
      <w:r>
        <w:rPr>
          <w:rFonts w:hint="eastAsia" w:ascii="仿宋_GB2312" w:hAnsi="仿宋_GB2312" w:eastAsia="仿宋_GB2312" w:cs="仿宋_GB2312"/>
          <w:sz w:val="32"/>
          <w:szCs w:val="32"/>
        </w:rPr>
        <w:t>其中，收入总计349.35万元，包括一般公共预算本年收入349.35万元、上年结转0万元，政府性基金预算本年收入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万元；支出总计349.35万元，包括社会保障和就业支出22.68万元、交通运输支出296.87万元、卫生健康支出12.05万元、住房保障支出17.76万元，结转下年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二、关于海南省马村航道</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海南省马村航道所</w:t>
      </w:r>
      <w:r>
        <w:rPr>
          <w:rFonts w:ascii="仿宋_GB2312" w:hAnsi="宋体" w:eastAsia="仿宋_GB2312" w:cs="宋体"/>
          <w:color w:val="000000"/>
          <w:kern w:val="0"/>
          <w:sz w:val="32"/>
          <w:szCs w:val="30"/>
        </w:rPr>
        <w:t>202</w:t>
      </w:r>
      <w:r>
        <w:rPr>
          <w:rFonts w:hint="eastAsia" w:ascii="仿宋_GB2312" w:hAnsi="宋体" w:eastAsia="仿宋_GB2312" w:cs="宋体"/>
          <w:color w:val="000000"/>
          <w:kern w:val="0"/>
          <w:sz w:val="32"/>
          <w:szCs w:val="30"/>
        </w:rPr>
        <w:t>2年一般公共预算当年拨款349.35万元，比上年预算数215.42万元增加133.93万元，主要是根据海南省交通运输厅（琼交人教便函[2021]657号），海南省交通运输厅关于报送省港航管理局所属生产经营类事业单位改革人员分流安置结果的函和中共海南省委编制委员会办公室文件（琼编办【2021】26号），中共海南省委编制委员会办公室关于省港航管理局所属经营类事业单位人员安置和编制划转的通知，我所接收工程队和测量队划转人员13名，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宋体" w:eastAsia="仿宋_GB2312" w:cs="宋体"/>
          <w:color w:val="000000"/>
          <w:kern w:val="0"/>
          <w:sz w:val="32"/>
          <w:szCs w:val="30"/>
        </w:rPr>
      </w:pPr>
      <w:bookmarkStart w:id="0" w:name="_Hlk63757961"/>
      <w:r>
        <w:rPr>
          <w:rFonts w:hint="eastAsia" w:ascii="仿宋_GB2312" w:hAnsi="宋体" w:eastAsia="仿宋_GB2312" w:cs="宋体"/>
          <w:color w:val="000000"/>
          <w:kern w:val="0"/>
          <w:sz w:val="32"/>
          <w:szCs w:val="30"/>
        </w:rPr>
        <w:t>社会保障和就业支出22.68万元</w:t>
      </w:r>
      <w:bookmarkEnd w:id="0"/>
      <w:r>
        <w:rPr>
          <w:rFonts w:hint="eastAsia" w:ascii="仿宋_GB2312" w:hAnsi="宋体" w:eastAsia="仿宋_GB2312" w:cs="宋体"/>
          <w:color w:val="000000"/>
          <w:kern w:val="0"/>
          <w:sz w:val="32"/>
          <w:szCs w:val="30"/>
        </w:rPr>
        <w:t>，占6.49</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卫生健康支出12.05万元，占3.45</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交通运输支出296.87万元，</w:t>
      </w:r>
      <w:bookmarkStart w:id="1" w:name="_Hlk63757301"/>
      <w:r>
        <w:rPr>
          <w:rFonts w:hint="eastAsia" w:ascii="仿宋_GB2312" w:hAnsi="宋体" w:eastAsia="仿宋_GB2312" w:cs="宋体"/>
          <w:color w:val="000000"/>
          <w:kern w:val="0"/>
          <w:sz w:val="32"/>
          <w:szCs w:val="30"/>
        </w:rPr>
        <w:t>占84.98</w:t>
      </w:r>
      <w:r>
        <w:rPr>
          <w:rFonts w:ascii="仿宋_GB2312" w:hAnsi="宋体" w:eastAsia="仿宋_GB2312" w:cs="宋体"/>
          <w:color w:val="000000"/>
          <w:kern w:val="0"/>
          <w:sz w:val="32"/>
          <w:szCs w:val="30"/>
        </w:rPr>
        <w:t>%</w:t>
      </w:r>
      <w:bookmarkEnd w:id="1"/>
      <w:r>
        <w:rPr>
          <w:rFonts w:hint="eastAsia" w:ascii="仿宋_GB2312" w:hAnsi="宋体" w:eastAsia="仿宋_GB2312" w:cs="宋体"/>
          <w:color w:val="000000"/>
          <w:kern w:val="0"/>
          <w:sz w:val="32"/>
          <w:szCs w:val="30"/>
        </w:rPr>
        <w:t>；住房保障支出17.76万元占5.08</w:t>
      </w:r>
      <w:r>
        <w:rPr>
          <w:rFonts w:ascii="仿宋_GB2312" w:hAnsi="宋体" w:eastAsia="仿宋_GB2312" w:cs="宋体"/>
          <w:color w:val="000000"/>
          <w:kern w:val="0"/>
          <w:sz w:val="32"/>
          <w:szCs w:val="30"/>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ascii="仿宋_GB2312" w:hAnsi="宋体" w:eastAsia="仿宋_GB2312" w:cs="宋体"/>
          <w:color w:val="000000"/>
          <w:kern w:val="0"/>
          <w:sz w:val="32"/>
          <w:szCs w:val="30"/>
        </w:rPr>
      </w:pPr>
      <w:bookmarkStart w:id="2" w:name="_Hlk63758086"/>
      <w:r>
        <w:rPr>
          <w:rFonts w:hint="eastAsia" w:ascii="仿宋_GB2312" w:hAnsi="宋体" w:eastAsia="仿宋_GB2312" w:cs="宋体"/>
          <w:color w:val="000000"/>
          <w:kern w:val="0"/>
          <w:sz w:val="32"/>
          <w:szCs w:val="30"/>
        </w:rPr>
        <w:t>1.社会保障和就业支出（类）行政事业单位养老支出（款）机关事业单位基本养老保险缴费支出（项）2022年预算数为22.68万元，比上年预算数4.99万元增加17.69万元，主要是接收工程队和测量队划转人员13名，人员增加，养老保险缴费增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2.卫生健康支出（类）行政事业单位医疗（款）事业单位医疗（项） 2022年预算数为12.05万元,比上年预算数2.65万元增加9.4万元，主要是接收两队划转人员13名，人员增加，医疗保险缴费增加。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交通运输支出（类）公路水路运输（款）航道维护（项）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2年预算数为71.50万元，比上年预算数142.22万元减少70.72万元，主要是与2021年比，2022年项目支出减少购置业务巡查工作船支出。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4.交通运输支出（类）公路水路运输（款）其他公路水路运输支出（项）2022年预算数为225.37万元，比上年预算61.57万元增加163.8万元。主要是接收两队划转人员13名，人员经费及公用经费增加。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住房保障支出（类）住房改革支出（款）住房公积金（项）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2年预算数为17.76万元，</w:t>
      </w:r>
      <w:bookmarkEnd w:id="2"/>
      <w:r>
        <w:rPr>
          <w:rFonts w:hint="eastAsia" w:ascii="仿宋_GB2312" w:hAnsi="仿宋_GB2312" w:eastAsia="仿宋_GB2312" w:cs="仿宋_GB2312"/>
          <w:sz w:val="32"/>
          <w:szCs w:val="32"/>
        </w:rPr>
        <w:t>比上年预算数4万元增加13.76万</w:t>
      </w:r>
      <w:r>
        <w:rPr>
          <w:rFonts w:hint="eastAsia" w:ascii="仿宋_GB2312" w:hAnsi="黑体" w:eastAsia="仿宋_GB2312"/>
          <w:sz w:val="32"/>
          <w:szCs w:val="32"/>
        </w:rPr>
        <w:t>元，主要是</w:t>
      </w:r>
      <w:r>
        <w:rPr>
          <w:rFonts w:hint="eastAsia" w:ascii="仿宋_GB2312" w:hAnsi="仿宋_GB2312" w:eastAsia="仿宋_GB2312" w:cs="仿宋_GB2312"/>
          <w:sz w:val="32"/>
          <w:szCs w:val="32"/>
        </w:rPr>
        <w:t>接收两队划转人员13名，人员增加，住房公积金缴费增加。</w:t>
      </w:r>
    </w:p>
    <w:p>
      <w:pPr>
        <w:ind w:firstLine="640"/>
        <w:rPr>
          <w:rFonts w:ascii="黑体" w:hAnsi="黑体" w:eastAsia="黑体"/>
          <w:sz w:val="32"/>
          <w:szCs w:val="32"/>
        </w:rPr>
      </w:pPr>
      <w:r>
        <w:rPr>
          <w:rFonts w:hint="eastAsia" w:ascii="黑体" w:hAnsi="黑体" w:eastAsia="黑体"/>
          <w:sz w:val="32"/>
          <w:szCs w:val="32"/>
        </w:rPr>
        <w:t>三、关于海南省马村航道所</w:t>
      </w:r>
      <w:r>
        <w:rPr>
          <w:rFonts w:hint="eastAsia" w:ascii="仿宋_GB2312" w:hAnsi="黑体" w:eastAsia="仿宋_GB2312" w:cs="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海南省马村航道所2022年一般公共预算基本支出为277.85万元，其中：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234.03万元，主要包括：基本工资、津贴补贴、奖金、其他社会保障缴费、绩效工资、机关事业单位基本养老保险缴费、职业年金缴费、城镇职工基本医疗保险缴费、住房公积金、医疗费、其他工资福利支出、生活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43.82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海南省马村航道所</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（一）海南省马村航道所</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rPr>
        <w:t>一般公共预算“三公”经费预算数为5.1万元，其中：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单位年度工作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5.1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5.1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比</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增加100%。主要是预算编制系统增加增加工作用车编制一辆。公务车保有量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（二）海南省马村航道所2022年政府性基金预算“三公”经费预算数为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海南省马村航道2022年政府性基金预算当年拨款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海南省马村航道所2022年无</w:t>
      </w:r>
      <w:r>
        <w:rPr>
          <w:rFonts w:hint="eastAsia" w:ascii="仿宋_GB2312" w:hAnsi="仿宋_GB2312" w:eastAsia="仿宋_GB2312"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海南省马村航道2022年无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教育支出、社会保障和就业支出、卫生健康支出、交通运输支出、住房保障支出。</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收支总预算349.35万元。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收入预算349.35万元，其中：上年结转结余0万元，占0</w:t>
      </w:r>
      <w:r>
        <w:rPr>
          <w:rFonts w:ascii="仿宋_GB2312" w:hAnsi="仿宋_GB2312" w:eastAsia="仿宋_GB2312" w:cs="仿宋_GB2312"/>
          <w:sz w:val="32"/>
          <w:szCs w:val="32"/>
        </w:rPr>
        <w:t>%；经费拨款收入</w:t>
      </w:r>
      <w:r>
        <w:rPr>
          <w:rFonts w:hint="eastAsia" w:ascii="仿宋_GB2312" w:hAnsi="仿宋_GB2312" w:eastAsia="仿宋_GB2312" w:cs="仿宋_GB2312"/>
          <w:sz w:val="32"/>
          <w:szCs w:val="32"/>
        </w:rPr>
        <w:t>349.35万元，占100</w:t>
      </w:r>
      <w:r>
        <w:rPr>
          <w:rFonts w:ascii="仿宋_GB2312" w:hAnsi="仿宋_GB2312" w:eastAsia="仿宋_GB2312" w:cs="仿宋_GB2312"/>
          <w:sz w:val="32"/>
          <w:szCs w:val="32"/>
        </w:rPr>
        <w:t>%；政府性基金收入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%；专项收入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%。比上年预算数</w:t>
      </w:r>
      <w:r>
        <w:rPr>
          <w:rFonts w:hint="eastAsia" w:ascii="仿宋_GB2312" w:hAnsi="仿宋_GB2312" w:eastAsia="仿宋_GB2312" w:cs="仿宋_GB2312"/>
          <w:sz w:val="32"/>
          <w:szCs w:val="32"/>
        </w:rPr>
        <w:t>215.42万元增加133.93万元，主要是接收两队划转人员13名，人员经费及公用经费增加。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支出预算349.35万元，其中：基本支出277.85万元，占79.53%；项目支出71.50万元，占20.47%。比上年预算数215.42万元，增加133.93万元，主要是接收两队划转人员13名，人员经费及公用经费增加。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年海南省马村航道所</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年12月31日，海南省马村航道所共</w:t>
      </w:r>
      <w:r>
        <w:rPr>
          <w:rFonts w:hint="eastAsia" w:ascii="仿宋_GB2312" w:hAnsi="黑体" w:eastAsia="仿宋_GB2312" w:cs="仿宋_GB2312"/>
          <w:sz w:val="32"/>
          <w:szCs w:val="32"/>
        </w:rPr>
        <w:t>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年海南省</w:t>
      </w:r>
      <w:r>
        <w:rPr>
          <w:rFonts w:hint="eastAsia" w:ascii="仿宋_GB2312" w:hAnsi="黑体" w:eastAsia="仿宋_GB2312" w:cs="仿宋_GB2312"/>
          <w:sz w:val="32"/>
          <w:szCs w:val="32"/>
        </w:rPr>
        <w:t>马村航道所10项目实行绩效目标管理，涉及一般公共预算349.35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其中，</w:t>
      </w:r>
      <w:r>
        <w:rPr>
          <w:rFonts w:hint="eastAsia" w:ascii="仿宋_GB2312" w:hAnsi="黑体" w:eastAsia="仿宋_GB2312"/>
          <w:sz w:val="32"/>
          <w:szCs w:val="32"/>
        </w:rPr>
        <w:t>重点</w:t>
      </w:r>
      <w:r>
        <w:rPr>
          <w:rFonts w:hint="eastAsia" w:ascii="仿宋_GB2312" w:hAnsi="黑体" w:eastAsia="仿宋_GB2312" w:cs="仿宋_GB2312"/>
          <w:sz w:val="32"/>
          <w:szCs w:val="32"/>
        </w:rPr>
        <w:t>项目预算绩效情况：</w:t>
      </w:r>
    </w:p>
    <w:p>
      <w:pPr>
        <w:rPr>
          <w:rFonts w:ascii="仿宋_GB2312" w:hAnsi="仿宋_GB2312" w:eastAsia="仿宋_GB2312" w:cs="仿宋_GB2312"/>
          <w:sz w:val="32"/>
          <w:szCs w:val="32"/>
        </w:rPr>
      </w:pPr>
      <w:r>
        <w:rPr>
          <w:rFonts w:hint="eastAsia" w:ascii="仿宋_GB2312" w:hAnsi="黑体" w:eastAsia="仿宋_GB2312" w:cs="仿宋_GB2312"/>
          <w:sz w:val="32"/>
          <w:szCs w:val="32"/>
        </w:rPr>
        <w:t>水路日常养护项目，预算安排71.5万元，主要用于日常维护航标6座二级灯桩、3座为水上浮标；航道保护里程20公里（沿海20公里），绩效目标是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 xml:space="preserve">开展航道保护，航标养护及时掌握辖区航道、航标维护状况，消除安全隐患，改善通航条件，提高企业生产效率，确保航道安全、畅通，保障区域航运船舶安全。 </w:t>
      </w:r>
    </w:p>
    <w:p>
      <w:pPr>
        <w:ind w:firstLine="640" w:firstLineChars="200"/>
        <w:rPr>
          <w:rFonts w:ascii="仿宋_GB2312" w:hAnsi="黑体" w:eastAsia="仿宋_GB2312" w:cs="仿宋_GB2312"/>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0"/>
    <w:semiHidden/>
    <w:unhideWhenUsed/>
    <w:uiPriority w:val="0"/>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列表段落1"/>
    <w:basedOn w:val="1"/>
    <w:qFormat/>
    <w:uiPriority w:val="34"/>
    <w:pPr>
      <w:ind w:firstLine="420" w:firstLineChars="200"/>
    </w:pPr>
  </w:style>
  <w:style w:type="character" w:customStyle="1" w:styleId="8">
    <w:name w:val="页眉 Char"/>
    <w:basedOn w:val="5"/>
    <w:link w:val="4"/>
    <w:semiHidden/>
    <w:uiPriority w:val="99"/>
    <w:rPr>
      <w:rFonts w:ascii="Calibri" w:hAnsi="Calibri" w:eastAsia="宋体" w:cs="黑体"/>
      <w:sz w:val="18"/>
      <w:szCs w:val="18"/>
    </w:rPr>
  </w:style>
  <w:style w:type="character" w:customStyle="1" w:styleId="9">
    <w:name w:val="页脚 Char"/>
    <w:basedOn w:val="5"/>
    <w:link w:val="3"/>
    <w:semiHidden/>
    <w:uiPriority w:val="99"/>
    <w:rPr>
      <w:rFonts w:ascii="Calibri" w:hAnsi="Calibri" w:eastAsia="宋体" w:cs="黑体"/>
      <w:sz w:val="18"/>
      <w:szCs w:val="18"/>
    </w:rPr>
  </w:style>
  <w:style w:type="character" w:customStyle="1" w:styleId="10">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696</Words>
  <Characters>3970</Characters>
  <Lines>33</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2022-02-13T02:30:00Z</dcterms:created>
  <dc:creator>11</dc:creator>
  <cp:lastModifiedBy>未定义</cp:lastModifiedBy>
  <dcterms:modified xsi:type="dcterms:W3CDTF">2023-07-07T00:40:55Z</dcterms:modified>
  <dc:title>2022年海南省马村航道所预算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