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r>
        <w:rPr>
          <w:rFonts w:hint="eastAsia" w:ascii="黑体" w:hAnsi="ˎ̥" w:eastAsia="黑体"/>
          <w:sz w:val="44"/>
          <w:szCs w:val="44"/>
        </w:rPr>
        <w:t>海南省三亚航道所</w:t>
      </w:r>
    </w:p>
    <w:p>
      <w:pPr>
        <w:jc w:val="center"/>
        <w:rPr>
          <w:rFonts w:ascii="黑体" w:hAnsi="ˎ̥" w:eastAsia="黑体"/>
          <w:sz w:val="44"/>
          <w:szCs w:val="44"/>
        </w:rPr>
      </w:pPr>
      <w:r>
        <w:rPr>
          <w:rFonts w:hint="eastAsia" w:ascii="黑体" w:hAnsi="ˎ̥" w:eastAsia="黑体"/>
          <w:sz w:val="44"/>
          <w:szCs w:val="44"/>
        </w:rPr>
        <w:t>202</w:t>
      </w:r>
      <w:r>
        <w:rPr>
          <w:rFonts w:hint="eastAsia" w:ascii="黑体" w:hAnsi="ˎ̥" w:eastAsia="黑体"/>
          <w:sz w:val="44"/>
          <w:szCs w:val="44"/>
          <w:lang w:val="en-US" w:eastAsia="zh-CN"/>
        </w:rPr>
        <w:t>1</w:t>
      </w:r>
      <w:r>
        <w:rPr>
          <w:rFonts w:hint="eastAsia" w:ascii="黑体" w:hAnsi="ˎ̥" w:eastAsia="黑体"/>
          <w:sz w:val="44"/>
          <w:szCs w:val="44"/>
        </w:rPr>
        <w:t>年度单位决算公开文字说明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rPr>
          <w:rFonts w:ascii="黑体" w:hAnsi="黑体" w:eastAsia="黑体"/>
          <w:sz w:val="32"/>
          <w:szCs w:val="32"/>
        </w:rPr>
      </w:pPr>
      <w:r>
        <w:fldChar w:fldCharType="begin"/>
      </w:r>
      <w:r>
        <w:instrText xml:space="preserve">HYPERLINK  \l "_Toc1704_WPSOffice_Level1" </w:instrText>
      </w:r>
      <w:r>
        <w:fldChar w:fldCharType="separate"/>
      </w:r>
      <w:r>
        <w:rPr>
          <w:rFonts w:hint="eastAsia" w:ascii="黑体" w:hAnsi="黑体" w:eastAsia="黑体"/>
          <w:sz w:val="32"/>
          <w:szCs w:val="32"/>
        </w:rPr>
        <w:t>第一部分  海南省三亚航道所</w:t>
      </w:r>
      <w:r>
        <w:rPr>
          <w:rFonts w:hint="eastAsia" w:ascii="黑体" w:hAnsi="黑体" w:eastAsia="黑体"/>
          <w:sz w:val="32"/>
          <w:szCs w:val="32"/>
          <w:lang w:eastAsia="zh-CN"/>
        </w:rPr>
        <w:t>单位</w:t>
      </w:r>
      <w:r>
        <w:rPr>
          <w:rFonts w:hint="eastAsia" w:ascii="黑体" w:hAnsi="黑体" w:eastAsia="黑体"/>
          <w:sz w:val="32"/>
          <w:szCs w:val="32"/>
        </w:rPr>
        <w:t>概况</w:t>
      </w:r>
      <w:r>
        <w:rPr>
          <w:rFonts w:ascii="黑体" w:hAnsi="黑体" w:eastAsia="黑体"/>
          <w:sz w:val="32"/>
          <w:szCs w:val="32"/>
        </w:rPr>
        <w:tab/>
      </w:r>
      <w:r>
        <w:rPr>
          <w:rFonts w:hint="eastAsia" w:ascii="黑体" w:hAnsi="黑体" w:eastAsia="黑体"/>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8"/>
        <w:tabs>
          <w:tab w:val="right" w:leader="dot" w:pos="8306"/>
        </w:tabs>
        <w:rPr>
          <w:rFonts w:ascii="黑体" w:hAnsi="黑体" w:eastAsia="黑体"/>
          <w:sz w:val="32"/>
          <w:szCs w:val="32"/>
        </w:rPr>
      </w:pPr>
      <w:r>
        <w:fldChar w:fldCharType="begin"/>
      </w:r>
      <w:r>
        <w:instrText xml:space="preserve">HYPERLINK  \l "_Toc28253_WPSOffice_Level1" </w:instrText>
      </w:r>
      <w:r>
        <w:fldChar w:fldCharType="separate"/>
      </w:r>
      <w:r>
        <w:rPr>
          <w:rFonts w:hint="eastAsia" w:ascii="黑体" w:hAnsi="黑体" w:eastAsia="黑体"/>
          <w:sz w:val="32"/>
          <w:szCs w:val="32"/>
        </w:rPr>
        <w:t>第二部分  海南省三亚航道所202</w:t>
      </w:r>
      <w:r>
        <w:rPr>
          <w:rFonts w:hint="eastAsia" w:ascii="黑体" w:hAnsi="黑体" w:eastAsia="黑体"/>
          <w:sz w:val="32"/>
          <w:szCs w:val="32"/>
          <w:lang w:val="en-US" w:eastAsia="zh-CN"/>
        </w:rPr>
        <w:t>1</w:t>
      </w:r>
      <w:r>
        <w:rPr>
          <w:rFonts w:hint="eastAsia" w:ascii="黑体" w:hAnsi="黑体" w:eastAsia="黑体"/>
          <w:sz w:val="32"/>
          <w:szCs w:val="32"/>
        </w:rPr>
        <w:t>年度单位决算公开表</w:t>
      </w:r>
      <w:r>
        <w:rPr>
          <w:rFonts w:ascii="黑体" w:hAnsi="黑体" w:eastAsia="黑体"/>
          <w:sz w:val="32"/>
          <w:szCs w:val="32"/>
        </w:rPr>
        <w:tab/>
      </w:r>
      <w:r>
        <w:rPr>
          <w:rFonts w:hint="eastAsia" w:ascii="黑体" w:hAnsi="黑体" w:eastAsia="黑体"/>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fldChar w:fldCharType="end"/>
      </w:r>
      <w:r>
        <w:rPr>
          <w:rFonts w:hint="eastAsia" w:ascii="仿宋" w:hAnsi="仿宋" w:eastAsia="仿宋" w:cs="仿宋"/>
          <w:sz w:val="32"/>
          <w:szCs w:val="32"/>
        </w:rPr>
        <w:t>4</w:t>
      </w:r>
    </w:p>
    <w:p>
      <w:pPr>
        <w:pStyle w:val="9"/>
        <w:tabs>
          <w:tab w:val="right" w:leader="dot" w:pos="8306"/>
        </w:tabs>
        <w:ind w:leftChars="0"/>
        <w:rPr>
          <w:rFonts w:ascii="仿宋" w:hAnsi="仿宋" w:eastAsia="仿宋" w:cs="仿宋"/>
          <w:sz w:val="32"/>
          <w:szCs w:val="32"/>
        </w:rPr>
      </w:pPr>
      <w:r>
        <w:fldChar w:fldCharType="begin"/>
      </w:r>
      <w:r>
        <w:instrText xml:space="preserve">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8"/>
        <w:tabs>
          <w:tab w:val="right" w:leader="dot" w:pos="8306"/>
        </w:tabs>
        <w:rPr>
          <w:rFonts w:ascii="黑体" w:hAnsi="黑体" w:eastAsia="黑体"/>
          <w:sz w:val="32"/>
          <w:szCs w:val="32"/>
        </w:rPr>
      </w:pPr>
      <w:r>
        <w:fldChar w:fldCharType="begin"/>
      </w:r>
      <w:r>
        <w:instrText xml:space="preserve">HYPERLINK  \l "_Toc27590_WPSOffice_Level1" </w:instrText>
      </w:r>
      <w:r>
        <w:fldChar w:fldCharType="separate"/>
      </w:r>
      <w:r>
        <w:rPr>
          <w:rFonts w:hint="eastAsia" w:ascii="黑体" w:hAnsi="黑体" w:eastAsia="黑体" w:cs="黑体"/>
          <w:sz w:val="32"/>
          <w:szCs w:val="32"/>
        </w:rPr>
        <w:t>第三部分</w:t>
      </w:r>
      <w:r>
        <w:rPr>
          <w:rFonts w:hint="eastAsia" w:ascii="黑体" w:hAnsi="黑体" w:eastAsia="黑体"/>
          <w:sz w:val="32"/>
          <w:szCs w:val="32"/>
        </w:rPr>
        <w:t xml:space="preserve"> 海南省三亚航道所202</w:t>
      </w:r>
      <w:r>
        <w:rPr>
          <w:rFonts w:hint="eastAsia" w:ascii="黑体" w:hAnsi="黑体" w:eastAsia="黑体"/>
          <w:sz w:val="32"/>
          <w:szCs w:val="32"/>
          <w:lang w:val="en-US" w:eastAsia="zh-CN"/>
        </w:rPr>
        <w:t>1</w:t>
      </w:r>
      <w:r>
        <w:rPr>
          <w:rFonts w:hint="eastAsia" w:ascii="黑体" w:hAnsi="黑体" w:eastAsia="黑体"/>
          <w:sz w:val="32"/>
          <w:szCs w:val="32"/>
        </w:rPr>
        <w:t>年度单位决算情况说明</w:t>
      </w:r>
      <w:r>
        <w:rPr>
          <w:rFonts w:ascii="黑体" w:hAnsi="黑体" w:eastAsia="黑体"/>
          <w:sz w:val="32"/>
          <w:szCs w:val="32"/>
        </w:rPr>
        <w:tab/>
      </w:r>
      <w:r>
        <w:rPr>
          <w:rFonts w:hint="eastAsia" w:ascii="黑体" w:hAnsi="黑体" w:eastAsia="黑体"/>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9"/>
        <w:tabs>
          <w:tab w:val="right" w:leader="dot" w:pos="8306"/>
        </w:tabs>
        <w:ind w:leftChars="0"/>
        <w:rPr>
          <w:rFonts w:hint="default" w:ascii="仿宋" w:hAnsi="仿宋" w:eastAsia="宋体" w:cs="仿宋"/>
          <w:sz w:val="32"/>
          <w:szCs w:val="32"/>
          <w:lang w:val="en-US" w:eastAsia="zh-CN"/>
        </w:rPr>
      </w:pPr>
      <w:r>
        <w:fldChar w:fldCharType="begin"/>
      </w:r>
      <w:r>
        <w:instrText xml:space="preserve">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fldChar w:fldCharType="end"/>
      </w:r>
      <w:r>
        <w:rPr>
          <w:rFonts w:hint="eastAsia" w:ascii="仿宋" w:hAnsi="仿宋" w:eastAsia="仿宋" w:cs="仿宋"/>
          <w:sz w:val="32"/>
          <w:szCs w:val="32"/>
          <w:lang w:val="en-US" w:eastAsia="zh-CN"/>
        </w:rPr>
        <w:t>11</w:t>
      </w:r>
    </w:p>
    <w:p>
      <w:pPr>
        <w:pStyle w:val="9"/>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2</w:t>
      </w:r>
    </w:p>
    <w:p>
      <w:pPr>
        <w:pStyle w:val="8"/>
        <w:tabs>
          <w:tab w:val="right" w:leader="dot" w:pos="8306"/>
        </w:tabs>
        <w:rPr>
          <w:rFonts w:hint="eastAsia" w:ascii="仿宋" w:hAnsi="仿宋" w:eastAsia="宋体"/>
          <w:sz w:val="32"/>
          <w:szCs w:val="32"/>
          <w:lang w:eastAsia="zh-CN"/>
        </w:rPr>
      </w:pPr>
      <w:r>
        <w:fldChar w:fldCharType="begin"/>
      </w:r>
      <w:r>
        <w:instrText xml:space="preserve">HYPERLINK  \l "_Toc15425_WPSOffice_Level1" </w:instrText>
      </w:r>
      <w:r>
        <w:fldChar w:fldCharType="separate"/>
      </w:r>
      <w:r>
        <w:rPr>
          <w:rFonts w:hint="eastAsia" w:ascii="仿宋" w:hAnsi="仿宋" w:eastAsia="仿宋"/>
          <w:sz w:val="32"/>
          <w:szCs w:val="32"/>
        </w:rPr>
        <w:t>第四部分  名词解释</w:t>
      </w:r>
      <w:r>
        <w:rPr>
          <w:rFonts w:ascii="仿宋" w:hAnsi="仿宋" w:eastAsia="仿宋"/>
          <w:sz w:val="32"/>
          <w:szCs w:val="32"/>
        </w:rPr>
        <w:tab/>
      </w:r>
      <w:r>
        <w:rPr>
          <w:rFonts w:ascii="仿宋" w:hAnsi="仿宋" w:eastAsia="仿宋"/>
          <w:sz w:val="32"/>
          <w:szCs w:val="32"/>
        </w:rPr>
        <w:t>1</w:t>
      </w:r>
      <w:r>
        <w:fldChar w:fldCharType="end"/>
      </w:r>
      <w:bookmarkEnd w:id="0"/>
      <w:r>
        <w:rPr>
          <w:rFonts w:hint="eastAsia" w:ascii="仿宋" w:hAnsi="仿宋" w:eastAsia="仿宋"/>
          <w:sz w:val="32"/>
          <w:szCs w:val="32"/>
          <w:lang w:val="en-US" w:eastAsia="zh-CN"/>
        </w:rPr>
        <w:t>3</w:t>
      </w:r>
    </w:p>
    <w:p>
      <w:pPr>
        <w:jc w:val="left"/>
        <w:rPr>
          <w:rFonts w:ascii="仿宋" w:hAnsi="仿宋" w:eastAsia="仿宋" w:cs="黑体"/>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黑体" w:hAnsi="黑体" w:eastAsia="黑体"/>
          <w:b/>
          <w:sz w:val="32"/>
          <w:szCs w:val="32"/>
        </w:rPr>
      </w:pPr>
      <w:bookmarkStart w:id="1" w:name="_Toc10049_WPSOffice_Level1"/>
      <w:bookmarkStart w:id="2" w:name="_Toc23465_WPSOffice_Level1"/>
      <w:bookmarkStart w:id="3" w:name="_Toc10720_WPSOffice_Level1"/>
      <w:bookmarkStart w:id="4" w:name="_Toc32433_WPSOffice_Level1"/>
      <w:bookmarkStart w:id="5" w:name="_Toc22941_WPSOffice_Level1"/>
      <w:bookmarkStart w:id="6" w:name="_Toc1704_WPSOffice_Level1"/>
      <w:bookmarkStart w:id="7" w:name="_Toc24238_WPSOffice_Level2"/>
      <w:bookmarkStart w:id="8" w:name="_Toc20274_WPSOffice_Level2"/>
      <w:bookmarkStart w:id="9" w:name="_Toc20205_WPSOffice_Level2"/>
      <w:bookmarkStart w:id="10" w:name="_Toc14159_WPSOffice_Level2"/>
      <w:bookmarkStart w:id="11" w:name="_Toc26580_WPSOffice_Level2"/>
      <w:bookmarkStart w:id="12" w:name="_Toc32622_WPSOffice_Level2"/>
      <w:r>
        <w:rPr>
          <w:rFonts w:hint="eastAsia" w:ascii="黑体" w:hAnsi="黑体" w:eastAsia="黑体"/>
          <w:b/>
          <w:sz w:val="32"/>
          <w:szCs w:val="32"/>
        </w:rPr>
        <w:t>第一部分 海南省三亚航道所单位概况</w:t>
      </w:r>
      <w:bookmarkEnd w:id="1"/>
      <w:bookmarkEnd w:id="2"/>
      <w:bookmarkEnd w:id="3"/>
      <w:bookmarkEnd w:id="4"/>
      <w:bookmarkEnd w:id="5"/>
      <w:bookmarkEnd w:id="6"/>
    </w:p>
    <w:bookmarkEnd w:id="7"/>
    <w:p>
      <w:pPr>
        <w:pStyle w:val="11"/>
        <w:numPr>
          <w:ilvl w:val="0"/>
          <w:numId w:val="2"/>
        </w:numPr>
        <w:ind w:firstLineChars="0"/>
        <w:rPr>
          <w:rFonts w:ascii="仿宋" w:hAnsi="仿宋" w:eastAsia="仿宋" w:cs="黑体"/>
          <w:b/>
          <w:sz w:val="32"/>
          <w:szCs w:val="32"/>
        </w:rPr>
      </w:pPr>
      <w:r>
        <w:rPr>
          <w:rFonts w:hint="eastAsia" w:ascii="仿宋" w:hAnsi="仿宋" w:eastAsia="仿宋" w:cs="黑体"/>
          <w:b/>
          <w:sz w:val="32"/>
          <w:szCs w:val="32"/>
        </w:rPr>
        <w:t>单位职责</w:t>
      </w:r>
      <w:bookmarkEnd w:id="8"/>
      <w:bookmarkEnd w:id="9"/>
      <w:bookmarkEnd w:id="10"/>
      <w:bookmarkEnd w:id="11"/>
      <w:bookmarkEnd w:id="12"/>
    </w:p>
    <w:p>
      <w:pPr>
        <w:spacing w:line="360" w:lineRule="auto"/>
        <w:ind w:firstLine="633" w:firstLineChars="198"/>
        <w:rPr>
          <w:rFonts w:ascii="仿宋" w:hAnsi="仿宋" w:eastAsia="仿宋"/>
          <w:sz w:val="32"/>
          <w:szCs w:val="32"/>
        </w:rPr>
      </w:pPr>
      <w:r>
        <w:rPr>
          <w:rFonts w:hint="eastAsia" w:ascii="仿宋" w:hAnsi="仿宋" w:eastAsia="仿宋"/>
          <w:sz w:val="32"/>
          <w:szCs w:val="32"/>
        </w:rPr>
        <w:t>其主要职责：认真贯彻执行有关港口、航道等方面的法律、法规及规章制度；负责管辖区（含三亚市、陵水县、乐东县、五指山市和保亭县）内的三亚河（包含临春河）等内河航道（共76.8公里）以及三亚港、三亚国际游轮港、南山港等沿海港口进港航道（3.37公里）管理及</w:t>
      </w:r>
      <w:r>
        <w:rPr>
          <w:rFonts w:hint="eastAsia" w:ascii="仿宋" w:hAnsi="仿宋" w:eastAsia="仿宋"/>
          <w:sz w:val="32"/>
          <w:szCs w:val="32"/>
          <w:lang w:val="en-US" w:eastAsia="zh-CN"/>
        </w:rPr>
        <w:t>38</w:t>
      </w:r>
      <w:r>
        <w:rPr>
          <w:rFonts w:hint="eastAsia" w:ascii="仿宋" w:hAnsi="仿宋" w:eastAsia="仿宋"/>
          <w:sz w:val="32"/>
          <w:szCs w:val="32"/>
        </w:rPr>
        <w:t>座航标的养护工作；承办省港航管理局交办的其他工作</w:t>
      </w:r>
      <w:r>
        <w:rPr>
          <w:rFonts w:hint="eastAsia" w:ascii="仿宋" w:hAnsi="仿宋" w:eastAsia="仿宋"/>
          <w:color w:val="000000"/>
          <w:sz w:val="32"/>
          <w:szCs w:val="32"/>
        </w:rPr>
        <w:t>。为财政预算管理单位。</w:t>
      </w:r>
    </w:p>
    <w:p>
      <w:pPr>
        <w:ind w:firstLine="643" w:firstLineChars="200"/>
        <w:rPr>
          <w:rFonts w:ascii="仿宋" w:hAnsi="仿宋" w:eastAsia="仿宋" w:cs="黑体"/>
          <w:b/>
          <w:sz w:val="32"/>
          <w:szCs w:val="32"/>
        </w:rPr>
      </w:pPr>
      <w:bookmarkStart w:id="13" w:name="_Toc24059_WPSOffice_Level2"/>
      <w:bookmarkStart w:id="14" w:name="_Toc4833_WPSOffice_Level2"/>
      <w:bookmarkStart w:id="15" w:name="_Toc6572_WPSOffice_Level2"/>
      <w:bookmarkStart w:id="16" w:name="_Toc17796_WPSOffice_Level2"/>
      <w:bookmarkStart w:id="17" w:name="_Toc24474_WPSOffice_Level2"/>
      <w:r>
        <w:rPr>
          <w:rFonts w:hint="eastAsia" w:ascii="仿宋" w:hAnsi="仿宋" w:eastAsia="仿宋" w:cs="黑体"/>
          <w:b/>
          <w:sz w:val="32"/>
          <w:szCs w:val="32"/>
        </w:rPr>
        <w:t>二、机构设置</w:t>
      </w:r>
      <w:bookmarkEnd w:id="13"/>
      <w:bookmarkEnd w:id="14"/>
      <w:bookmarkEnd w:id="15"/>
      <w:bookmarkEnd w:id="16"/>
      <w:bookmarkEnd w:id="17"/>
    </w:p>
    <w:p>
      <w:pPr>
        <w:ind w:firstLine="640" w:firstLineChars="200"/>
        <w:rPr>
          <w:rFonts w:hint="eastAsia" w:ascii="仿宋" w:hAnsi="仿宋" w:eastAsia="仿宋"/>
          <w:sz w:val="32"/>
          <w:szCs w:val="32"/>
        </w:rPr>
      </w:pPr>
      <w:bookmarkStart w:id="18" w:name="_Toc15521_WPSOffice_Level1"/>
      <w:bookmarkStart w:id="19" w:name="_Toc6234_WPSOffice_Level1"/>
      <w:bookmarkStart w:id="20" w:name="_Toc30690_WPSOffice_Level1"/>
      <w:bookmarkStart w:id="21" w:name="_Toc30451_WPSOffice_Level1"/>
      <w:bookmarkStart w:id="22" w:name="_Toc8164_WPSOffice_Level1"/>
      <w:bookmarkStart w:id="23" w:name="_Toc28253_WPSOffice_Level1"/>
      <w:bookmarkStart w:id="24" w:name="_Toc8867_WPSOffice_Level2"/>
      <w:bookmarkStart w:id="25" w:name="_Toc32695_WPSOffice_Level2"/>
      <w:bookmarkStart w:id="26" w:name="_Toc6211_WPSOffice_Level2"/>
      <w:bookmarkStart w:id="27" w:name="_Toc4029_WPSOffice_Level2"/>
      <w:bookmarkStart w:id="28" w:name="_Toc32472_WPSOffice_Level2"/>
      <w:bookmarkStart w:id="29" w:name="_Toc11518_WPSOffice_Level2"/>
      <w:r>
        <w:rPr>
          <w:rFonts w:hint="eastAsia" w:ascii="仿宋" w:hAnsi="仿宋" w:eastAsia="仿宋"/>
          <w:sz w:val="32"/>
          <w:szCs w:val="32"/>
        </w:rPr>
        <w:t>1989年12月份成立三亚航道所（琼编[1989]145号 [2002]119号文件），</w:t>
      </w:r>
      <w:r>
        <w:rPr>
          <w:rFonts w:hint="eastAsia" w:ascii="仿宋" w:hAnsi="仿宋" w:eastAsia="仿宋"/>
          <w:color w:val="000000"/>
          <w:sz w:val="32"/>
          <w:szCs w:val="32"/>
        </w:rPr>
        <w:t>正科级，隶属海南省港航管理局，单位性质为公益一类事业单位。在编人数5人，</w:t>
      </w:r>
      <w:r>
        <w:rPr>
          <w:rFonts w:hint="eastAsia" w:ascii="仿宋" w:hAnsi="仿宋" w:eastAsia="仿宋"/>
          <w:sz w:val="32"/>
          <w:szCs w:val="32"/>
        </w:rPr>
        <w:t>内设航道航标室、财务室、办公室、所长室。</w:t>
      </w:r>
    </w:p>
    <w:p>
      <w:pPr>
        <w:ind w:firstLine="640" w:firstLineChars="200"/>
        <w:rPr>
          <w:rFonts w:hint="eastAsia" w:ascii="仿宋" w:hAnsi="仿宋" w:eastAsia="仿宋"/>
          <w:sz w:val="32"/>
          <w:szCs w:val="32"/>
        </w:rPr>
      </w:pPr>
    </w:p>
    <w:p>
      <w:pPr>
        <w:jc w:val="center"/>
        <w:rPr>
          <w:rFonts w:ascii="黑体" w:hAnsi="黑体" w:eastAsia="黑体"/>
          <w:b/>
          <w:sz w:val="32"/>
          <w:szCs w:val="32"/>
        </w:rPr>
      </w:pPr>
      <w:r>
        <w:rPr>
          <w:rFonts w:hint="eastAsia" w:ascii="黑体" w:hAnsi="黑体" w:eastAsia="黑体"/>
          <w:b/>
          <w:sz w:val="32"/>
          <w:szCs w:val="32"/>
        </w:rPr>
        <w:t>第二部分  海南省三亚航道所202</w:t>
      </w:r>
      <w:r>
        <w:rPr>
          <w:rFonts w:hint="eastAsia" w:ascii="黑体" w:hAnsi="黑体" w:eastAsia="黑体"/>
          <w:b/>
          <w:sz w:val="32"/>
          <w:szCs w:val="32"/>
          <w:lang w:val="en-US" w:eastAsia="zh-CN"/>
        </w:rPr>
        <w:t>1</w:t>
      </w:r>
      <w:r>
        <w:rPr>
          <w:rFonts w:hint="eastAsia" w:ascii="黑体" w:hAnsi="黑体" w:eastAsia="黑体"/>
          <w:b/>
          <w:sz w:val="32"/>
          <w:szCs w:val="32"/>
        </w:rPr>
        <w:t>年度部门决算公开报表</w:t>
      </w:r>
      <w:bookmarkEnd w:id="18"/>
      <w:bookmarkEnd w:id="19"/>
      <w:bookmarkEnd w:id="20"/>
      <w:bookmarkEnd w:id="21"/>
      <w:bookmarkEnd w:id="22"/>
      <w:bookmarkEnd w:id="23"/>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3139_WPSOffice_Level2"/>
      <w:bookmarkStart w:id="31" w:name="_Toc26621_WPSOffice_Level2"/>
      <w:bookmarkStart w:id="32" w:name="_Toc25608_WPSOffice_Level2"/>
      <w:bookmarkStart w:id="33" w:name="_Toc28622_WPSOffice_Level2"/>
      <w:bookmarkStart w:id="34" w:name="_Toc14349_WPSOffice_Level2"/>
      <w:bookmarkStart w:id="35" w:name="_Toc30334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3262_WPSOffice_Level2"/>
      <w:bookmarkStart w:id="37" w:name="_Toc17858_WPSOffice_Level2"/>
      <w:bookmarkStart w:id="38" w:name="_Toc17626_WPSOffice_Level2"/>
      <w:bookmarkStart w:id="39" w:name="_Toc13854_WPSOffice_Level2"/>
      <w:bookmarkStart w:id="40" w:name="_Toc14658_WPSOffice_Level2"/>
      <w:bookmarkStart w:id="41" w:name="_Toc5489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21415_WPSOffice_Level2"/>
      <w:bookmarkStart w:id="43" w:name="_Toc13701_WPSOffice_Level2"/>
      <w:bookmarkStart w:id="44" w:name="_Toc23591_WPSOffice_Level2"/>
      <w:bookmarkStart w:id="45" w:name="_Toc23493_WPSOffice_Level2"/>
      <w:bookmarkStart w:id="46" w:name="_Toc4265_WPSOffice_Level2"/>
      <w:bookmarkStart w:id="47" w:name="_Toc7988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5166_WPSOffice_Level2"/>
      <w:bookmarkStart w:id="49" w:name="_Toc22783_WPSOffice_Level2"/>
      <w:bookmarkStart w:id="50" w:name="_Toc23829_WPSOffice_Level2"/>
      <w:bookmarkStart w:id="51" w:name="_Toc7879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25362_WPSOffice_Level2"/>
      <w:bookmarkStart w:id="55" w:name="_Toc17283_WPSOffice_Level2"/>
      <w:bookmarkStart w:id="56" w:name="_Toc5343_WPSOffice_Level2"/>
      <w:bookmarkStart w:id="57" w:name="_Toc17833_WPSOffice_Level2"/>
      <w:bookmarkStart w:id="58" w:name="_Toc2632_WPSOffice_Level2"/>
      <w:bookmarkStart w:id="59" w:name="_Toc837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13345_WPSOffice_Level2"/>
      <w:bookmarkStart w:id="61" w:name="_Toc5594_WPSOffice_Level2"/>
      <w:bookmarkStart w:id="62" w:name="_Toc1533_WPSOffice_Level2"/>
      <w:bookmarkStart w:id="63" w:name="_Toc6020_WPSOffice_Level2"/>
      <w:bookmarkStart w:id="64" w:name="_Toc11799_WPSOffice_Level2"/>
      <w:bookmarkStart w:id="65" w:name="_Toc21310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9377_WPSOffice_Level2"/>
      <w:bookmarkStart w:id="67" w:name="_Toc29886_WPSOffice_Level2"/>
      <w:bookmarkStart w:id="68" w:name="_Toc19961_WPSOffice_Level2"/>
      <w:bookmarkStart w:id="69" w:name="_Toc1820_WPSOffice_Level2"/>
      <w:r>
        <w:rPr>
          <w:rFonts w:hint="eastAsia" w:ascii="仿宋" w:hAnsi="仿宋" w:eastAsia="仿宋" w:cs="黑体"/>
          <w:sz w:val="32"/>
          <w:szCs w:val="32"/>
        </w:rPr>
        <w:t xml:space="preserve">    九、一般公共预算财政拨款“三公”经费支出决算</w:t>
      </w:r>
    </w:p>
    <w:p>
      <w:pPr>
        <w:rPr>
          <w:rFonts w:ascii="仿宋" w:hAnsi="仿宋" w:eastAsia="仿宋" w:cs="黑体"/>
          <w:sz w:val="32"/>
          <w:szCs w:val="32"/>
        </w:rPr>
      </w:pPr>
      <w:r>
        <w:rPr>
          <w:rFonts w:hint="eastAsia" w:ascii="仿宋" w:hAnsi="仿宋" w:eastAsia="仿宋" w:cs="黑体"/>
          <w:sz w:val="32"/>
          <w:szCs w:val="32"/>
        </w:rPr>
        <w:t xml:space="preserve">         </w:t>
      </w:r>
      <w:bookmarkEnd w:id="66"/>
      <w:bookmarkEnd w:id="67"/>
      <w:bookmarkEnd w:id="68"/>
      <w:bookmarkEnd w:id="69"/>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sz w:val="32"/>
          <w:szCs w:val="32"/>
        </w:rPr>
      </w:pPr>
    </w:p>
    <w:p>
      <w:pPr>
        <w:jc w:val="center"/>
        <w:rPr>
          <w:rFonts w:ascii="黑体" w:hAnsi="黑体" w:eastAsia="黑体"/>
          <w:b/>
          <w:sz w:val="32"/>
          <w:szCs w:val="32"/>
        </w:rPr>
      </w:pPr>
      <w:bookmarkStart w:id="70" w:name="_Toc31264_WPSOffice_Level1"/>
      <w:bookmarkStart w:id="71" w:name="_Toc16686_WPSOffice_Level1"/>
      <w:bookmarkStart w:id="72" w:name="_Toc27590_WPSOffice_Level1"/>
      <w:bookmarkStart w:id="73" w:name="_Toc29683_WPSOffice_Level1"/>
      <w:bookmarkStart w:id="74" w:name="_Toc28629_WPSOffice_Level1"/>
      <w:bookmarkStart w:id="75" w:name="_Toc4402_WPSOffice_Level1"/>
      <w:r>
        <w:rPr>
          <w:rFonts w:hint="eastAsia" w:ascii="黑体" w:hAnsi="黑体" w:eastAsia="黑体"/>
          <w:b/>
          <w:sz w:val="32"/>
          <w:szCs w:val="32"/>
        </w:rPr>
        <w:t>第三部分  海南省三亚航道所202</w:t>
      </w:r>
      <w:r>
        <w:rPr>
          <w:rFonts w:hint="eastAsia" w:ascii="黑体" w:hAnsi="黑体" w:eastAsia="黑体"/>
          <w:b/>
          <w:sz w:val="32"/>
          <w:szCs w:val="32"/>
          <w:lang w:val="en-US" w:eastAsia="zh-CN"/>
        </w:rPr>
        <w:t>1</w:t>
      </w:r>
      <w:r>
        <w:rPr>
          <w:rFonts w:hint="eastAsia" w:ascii="黑体" w:hAnsi="黑体" w:eastAsia="黑体"/>
          <w:b/>
          <w:sz w:val="32"/>
          <w:szCs w:val="32"/>
        </w:rPr>
        <w:t>年度单位决算情况说明</w:t>
      </w:r>
      <w:bookmarkEnd w:id="70"/>
      <w:bookmarkEnd w:id="71"/>
      <w:bookmarkEnd w:id="72"/>
      <w:bookmarkEnd w:id="73"/>
      <w:bookmarkEnd w:id="74"/>
      <w:bookmarkEnd w:id="75"/>
    </w:p>
    <w:p>
      <w:pPr>
        <w:snapToGrid w:val="0"/>
        <w:spacing w:line="600" w:lineRule="exact"/>
        <w:ind w:firstLine="643" w:firstLineChars="200"/>
        <w:rPr>
          <w:rFonts w:ascii="仿宋" w:hAnsi="仿宋" w:eastAsia="仿宋"/>
          <w:color w:val="000000"/>
          <w:sz w:val="32"/>
          <w:szCs w:val="32"/>
        </w:rPr>
      </w:pPr>
      <w:r>
        <w:rPr>
          <w:rFonts w:hint="eastAsia" w:ascii="仿宋" w:hAnsi="仿宋" w:eastAsia="仿宋" w:cs="黑体"/>
          <w:b/>
          <w:bCs/>
          <w:sz w:val="32"/>
          <w:szCs w:val="32"/>
        </w:rPr>
        <w:t>一、收入支出决算总体情况说明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年度收</w:t>
      </w:r>
      <w:r>
        <w:rPr>
          <w:rFonts w:hint="eastAsia" w:ascii="仿宋" w:hAnsi="仿宋" w:eastAsia="仿宋"/>
          <w:sz w:val="32"/>
          <w:szCs w:val="32"/>
          <w:lang w:eastAsia="zh-CN"/>
        </w:rPr>
        <w:t>入总计</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64.88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64.88</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年度2</w:t>
      </w:r>
      <w:r>
        <w:rPr>
          <w:rFonts w:hint="eastAsia" w:ascii="仿宋" w:hAnsi="仿宋" w:eastAsia="仿宋"/>
          <w:sz w:val="32"/>
          <w:szCs w:val="32"/>
          <w:lang w:val="en-US" w:eastAsia="zh-CN"/>
        </w:rPr>
        <w:t>44.29</w:t>
      </w:r>
      <w:r>
        <w:rPr>
          <w:rFonts w:hint="eastAsia" w:ascii="仿宋" w:hAnsi="仿宋" w:eastAsia="仿宋"/>
          <w:sz w:val="32"/>
          <w:szCs w:val="32"/>
        </w:rPr>
        <w:t>万元相比，收入、支出总计</w:t>
      </w:r>
      <w:r>
        <w:rPr>
          <w:rFonts w:hint="eastAsia" w:ascii="仿宋" w:hAnsi="仿宋" w:eastAsia="仿宋"/>
          <w:sz w:val="32"/>
          <w:szCs w:val="32"/>
          <w:lang w:eastAsia="zh-CN"/>
        </w:rPr>
        <w:t>各增加</w:t>
      </w:r>
      <w:r>
        <w:rPr>
          <w:rFonts w:hint="eastAsia" w:ascii="仿宋" w:hAnsi="仿宋" w:eastAsia="仿宋"/>
          <w:sz w:val="32"/>
          <w:szCs w:val="32"/>
          <w:lang w:val="en-US" w:eastAsia="zh-CN"/>
        </w:rPr>
        <w:t>20.59</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8.43</w:t>
      </w:r>
      <w:r>
        <w:rPr>
          <w:rFonts w:hint="eastAsia" w:ascii="仿宋" w:hAnsi="仿宋" w:eastAsia="仿宋"/>
          <w:sz w:val="32"/>
          <w:szCs w:val="32"/>
        </w:rPr>
        <w:t>%。原因</w:t>
      </w:r>
      <w:r>
        <w:rPr>
          <w:rFonts w:hint="eastAsia" w:ascii="仿宋" w:hAnsi="仿宋" w:eastAsia="仿宋"/>
          <w:sz w:val="32"/>
          <w:szCs w:val="32"/>
          <w:lang w:eastAsia="zh-CN"/>
        </w:rPr>
        <w:t>是</w:t>
      </w:r>
      <w:r>
        <w:rPr>
          <w:rFonts w:hint="eastAsia" w:ascii="仿宋" w:hAnsi="仿宋" w:eastAsia="仿宋"/>
          <w:sz w:val="32"/>
          <w:szCs w:val="32"/>
        </w:rPr>
        <w:t>：</w:t>
      </w:r>
      <w:r>
        <w:rPr>
          <w:rFonts w:hint="eastAsia" w:ascii="仿宋" w:hAnsi="仿宋" w:eastAsia="仿宋"/>
          <w:sz w:val="32"/>
          <w:szCs w:val="32"/>
          <w:lang w:val="en-US" w:eastAsia="zh-CN"/>
        </w:rPr>
        <w:t>2021年</w:t>
      </w:r>
      <w:r>
        <w:rPr>
          <w:rFonts w:hint="eastAsia" w:ascii="仿宋" w:hAnsi="仿宋" w:eastAsia="仿宋"/>
          <w:sz w:val="32"/>
          <w:szCs w:val="32"/>
          <w:lang w:eastAsia="zh-CN"/>
        </w:rPr>
        <w:t>增加三亚东、西河航标配布项目费用</w:t>
      </w:r>
      <w:r>
        <w:rPr>
          <w:rFonts w:hint="eastAsia" w:ascii="仿宋" w:hAnsi="仿宋" w:eastAsia="仿宋"/>
          <w:sz w:val="32"/>
          <w:szCs w:val="32"/>
        </w:rPr>
        <w:t>。使用非财政拨款结余0万元，与20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年度决算数持平。结余分配0万元，与20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spacing w:line="600" w:lineRule="exact"/>
        <w:ind w:firstLine="643" w:firstLineChars="200"/>
        <w:rPr>
          <w:rFonts w:ascii="仿宋" w:hAnsi="仿宋" w:eastAsia="仿宋"/>
          <w:sz w:val="32"/>
          <w:szCs w:val="32"/>
        </w:rPr>
      </w:pPr>
      <w:r>
        <w:rPr>
          <w:rFonts w:hint="eastAsia" w:ascii="仿宋" w:hAnsi="仿宋" w:eastAsia="仿宋" w:cs="黑体"/>
          <w:b/>
          <w:bCs/>
          <w:sz w:val="32"/>
          <w:szCs w:val="32"/>
        </w:rPr>
        <w:t>二、收入决算情况说明</w:t>
      </w:r>
      <w:r>
        <w:rPr>
          <w:rFonts w:hint="eastAsia" w:ascii="仿宋" w:hAnsi="仿宋" w:eastAsia="仿宋"/>
          <w:sz w:val="32"/>
          <w:szCs w:val="32"/>
        </w:rPr>
        <w:br w:type="textWrapping"/>
      </w:r>
      <w:r>
        <w:rPr>
          <w:rFonts w:hint="eastAsia" w:ascii="仿宋" w:hAnsi="仿宋" w:eastAsia="仿宋"/>
          <w:sz w:val="32"/>
          <w:szCs w:val="32"/>
        </w:rPr>
        <w:t xml:space="preserve">    本年收入合计2</w:t>
      </w:r>
      <w:r>
        <w:rPr>
          <w:rFonts w:hint="eastAsia" w:ascii="仿宋" w:hAnsi="仿宋" w:eastAsia="仿宋"/>
          <w:sz w:val="32"/>
          <w:szCs w:val="32"/>
          <w:lang w:val="en-US" w:eastAsia="zh-CN"/>
        </w:rPr>
        <w:t>64.88</w:t>
      </w:r>
      <w:r>
        <w:rPr>
          <w:rFonts w:hint="eastAsia" w:ascii="仿宋" w:hAnsi="仿宋" w:eastAsia="仿宋"/>
          <w:sz w:val="32"/>
          <w:szCs w:val="32"/>
        </w:rPr>
        <w:t>万元，其中：财政拨款收入2</w:t>
      </w:r>
      <w:r>
        <w:rPr>
          <w:rFonts w:hint="eastAsia" w:ascii="仿宋" w:hAnsi="仿宋" w:eastAsia="仿宋"/>
          <w:sz w:val="32"/>
          <w:szCs w:val="32"/>
          <w:lang w:val="en-US" w:eastAsia="zh-CN"/>
        </w:rPr>
        <w:t>64.88</w:t>
      </w:r>
      <w:r>
        <w:rPr>
          <w:rFonts w:hint="eastAsia" w:ascii="仿宋" w:hAnsi="仿宋" w:eastAsia="仿宋"/>
          <w:sz w:val="32"/>
          <w:szCs w:val="32"/>
        </w:rPr>
        <w:t>万元，占100%；上级补助收入0万元；事业收入0万元，；经营收入0万元；附属单位上缴收入0万元；其他收入0万元。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本年支出合计2</w:t>
      </w:r>
      <w:r>
        <w:rPr>
          <w:rFonts w:hint="eastAsia" w:ascii="仿宋" w:hAnsi="仿宋" w:eastAsia="仿宋"/>
          <w:sz w:val="32"/>
          <w:szCs w:val="32"/>
          <w:lang w:val="en-US" w:eastAsia="zh-CN"/>
        </w:rPr>
        <w:t>64.88</w:t>
      </w:r>
      <w:r>
        <w:rPr>
          <w:rFonts w:hint="eastAsia" w:ascii="仿宋" w:hAnsi="仿宋" w:eastAsia="仿宋"/>
          <w:sz w:val="32"/>
          <w:szCs w:val="32"/>
        </w:rPr>
        <w:t>万元，其中：基本支出</w:t>
      </w:r>
      <w:r>
        <w:rPr>
          <w:rFonts w:hint="eastAsia" w:ascii="仿宋" w:hAnsi="仿宋" w:eastAsia="仿宋"/>
          <w:sz w:val="32"/>
          <w:szCs w:val="32"/>
          <w:lang w:val="en-US" w:eastAsia="zh-CN"/>
        </w:rPr>
        <w:t>83.01</w:t>
      </w:r>
      <w:r>
        <w:rPr>
          <w:rFonts w:hint="eastAsia" w:ascii="仿宋" w:hAnsi="仿宋" w:eastAsia="仿宋"/>
          <w:sz w:val="32"/>
          <w:szCs w:val="32"/>
        </w:rPr>
        <w:t>万元，占</w:t>
      </w:r>
      <w:r>
        <w:rPr>
          <w:rFonts w:hint="eastAsia" w:ascii="仿宋" w:hAnsi="仿宋" w:eastAsia="仿宋"/>
          <w:sz w:val="32"/>
          <w:szCs w:val="32"/>
          <w:lang w:val="en-US" w:eastAsia="zh-CN"/>
        </w:rPr>
        <w:t>31.34</w:t>
      </w:r>
      <w:r>
        <w:rPr>
          <w:rFonts w:hint="eastAsia" w:ascii="仿宋" w:hAnsi="仿宋" w:eastAsia="仿宋"/>
          <w:sz w:val="32"/>
          <w:szCs w:val="32"/>
        </w:rPr>
        <w:t>%；项目支出1</w:t>
      </w:r>
      <w:r>
        <w:rPr>
          <w:rFonts w:hint="eastAsia" w:ascii="仿宋" w:hAnsi="仿宋" w:eastAsia="仿宋"/>
          <w:sz w:val="32"/>
          <w:szCs w:val="32"/>
          <w:lang w:val="en-US" w:eastAsia="zh-CN"/>
        </w:rPr>
        <w:t>81.87</w:t>
      </w:r>
      <w:r>
        <w:rPr>
          <w:rFonts w:hint="eastAsia" w:ascii="仿宋" w:hAnsi="仿宋" w:eastAsia="仿宋"/>
          <w:sz w:val="32"/>
          <w:szCs w:val="32"/>
        </w:rPr>
        <w:t>万元，占6</w:t>
      </w:r>
      <w:r>
        <w:rPr>
          <w:rFonts w:hint="eastAsia" w:ascii="仿宋" w:hAnsi="仿宋" w:eastAsia="仿宋"/>
          <w:sz w:val="32"/>
          <w:szCs w:val="32"/>
          <w:lang w:val="en-US" w:eastAsia="zh-CN"/>
        </w:rPr>
        <w:t>8.66</w:t>
      </w:r>
      <w:r>
        <w:rPr>
          <w:rFonts w:hint="eastAsia" w:ascii="仿宋" w:hAnsi="仿宋" w:eastAsia="仿宋"/>
          <w:sz w:val="32"/>
          <w:szCs w:val="32"/>
        </w:rPr>
        <w:t>%；上缴上级支出0万元；经营支出0万元；对附属单位补助支出0万元。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年度财政拨款收入总计2</w:t>
      </w:r>
      <w:r>
        <w:rPr>
          <w:rFonts w:hint="eastAsia" w:ascii="仿宋" w:hAnsi="仿宋" w:eastAsia="仿宋"/>
          <w:sz w:val="32"/>
          <w:szCs w:val="32"/>
          <w:lang w:val="en-US" w:eastAsia="zh-CN"/>
        </w:rPr>
        <w:t>64.88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支出总计2</w:t>
      </w:r>
      <w:r>
        <w:rPr>
          <w:rFonts w:hint="eastAsia" w:ascii="仿宋" w:hAnsi="仿宋" w:eastAsia="仿宋"/>
          <w:sz w:val="32"/>
          <w:szCs w:val="32"/>
          <w:lang w:val="en-US" w:eastAsia="zh-CN"/>
        </w:rPr>
        <w:t>64.88</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val="en-US" w:eastAsia="zh-CN"/>
        </w:rPr>
        <w:t>244.29</w:t>
      </w:r>
      <w:r>
        <w:rPr>
          <w:rFonts w:hint="eastAsia" w:ascii="仿宋" w:hAnsi="仿宋" w:eastAsia="仿宋"/>
          <w:sz w:val="32"/>
          <w:szCs w:val="32"/>
        </w:rPr>
        <w:t>万元相比，财政拨款收入、支出总计</w:t>
      </w:r>
      <w:r>
        <w:rPr>
          <w:rFonts w:hint="eastAsia" w:ascii="仿宋" w:hAnsi="仿宋" w:eastAsia="仿宋"/>
          <w:sz w:val="32"/>
          <w:szCs w:val="32"/>
          <w:lang w:eastAsia="zh-CN"/>
        </w:rPr>
        <w:t>各</w:t>
      </w:r>
      <w:r>
        <w:rPr>
          <w:rFonts w:hint="eastAsia" w:ascii="仿宋" w:hAnsi="仿宋" w:eastAsia="仿宋"/>
          <w:sz w:val="32"/>
          <w:szCs w:val="32"/>
        </w:rPr>
        <w:t>增加2</w:t>
      </w:r>
      <w:r>
        <w:rPr>
          <w:rFonts w:hint="eastAsia" w:ascii="仿宋" w:hAnsi="仿宋" w:eastAsia="仿宋"/>
          <w:sz w:val="32"/>
          <w:szCs w:val="32"/>
          <w:lang w:val="en-US" w:eastAsia="zh-CN"/>
        </w:rPr>
        <w:t>0.59</w:t>
      </w:r>
      <w:r>
        <w:rPr>
          <w:rFonts w:hint="eastAsia" w:ascii="仿宋" w:hAnsi="仿宋" w:eastAsia="仿宋"/>
          <w:sz w:val="32"/>
          <w:szCs w:val="32"/>
        </w:rPr>
        <w:t>万元，增长</w:t>
      </w:r>
      <w:r>
        <w:rPr>
          <w:rFonts w:hint="eastAsia" w:ascii="仿宋" w:hAnsi="仿宋" w:eastAsia="仿宋"/>
          <w:sz w:val="32"/>
          <w:szCs w:val="32"/>
          <w:lang w:val="en-US" w:eastAsia="zh-CN"/>
        </w:rPr>
        <w:t>8.43</w:t>
      </w:r>
      <w:r>
        <w:rPr>
          <w:rFonts w:hint="eastAsia" w:ascii="仿宋" w:hAnsi="仿宋" w:eastAsia="仿宋"/>
          <w:sz w:val="32"/>
          <w:szCs w:val="32"/>
        </w:rPr>
        <w:t>%。原因是：</w:t>
      </w:r>
      <w:r>
        <w:rPr>
          <w:rFonts w:hint="eastAsia" w:ascii="仿宋" w:hAnsi="仿宋" w:eastAsia="仿宋"/>
          <w:sz w:val="32"/>
          <w:szCs w:val="32"/>
          <w:lang w:val="en-US" w:eastAsia="zh-CN"/>
        </w:rPr>
        <w:t>2021年</w:t>
      </w:r>
      <w:r>
        <w:rPr>
          <w:rFonts w:hint="eastAsia" w:ascii="仿宋" w:hAnsi="仿宋" w:eastAsia="仿宋"/>
          <w:sz w:val="32"/>
          <w:szCs w:val="32"/>
          <w:lang w:eastAsia="zh-CN"/>
        </w:rPr>
        <w:t>增加三亚东、西河航标配布项目费用</w:t>
      </w:r>
      <w:r>
        <w:rPr>
          <w:rFonts w:hint="eastAsia" w:ascii="仿宋" w:hAnsi="仿宋" w:eastAsia="仿宋"/>
          <w:sz w:val="32"/>
          <w:szCs w:val="32"/>
        </w:rPr>
        <w:t>。财政拨款年初结转结余0万元，与20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年度决算数持平。财政拨款年末结转结余0万元，与20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五、一般公共预算财政拨款支出决算情况说明</w:t>
      </w:r>
    </w:p>
    <w:p>
      <w:pPr>
        <w:ind w:firstLine="643" w:firstLineChars="200"/>
        <w:rPr>
          <w:rFonts w:ascii="楷体" w:hAnsi="楷体" w:eastAsia="楷体" w:cs="楷体"/>
          <w:b/>
          <w:sz w:val="32"/>
          <w:szCs w:val="32"/>
        </w:rPr>
      </w:pPr>
      <w:bookmarkStart w:id="76" w:name="_Toc13694_WPSOffice_Level2"/>
      <w:bookmarkStart w:id="77" w:name="_Toc17398_WPSOffice_Level2"/>
      <w:bookmarkStart w:id="78" w:name="_Toc19665_WPSOffice_Level2"/>
      <w:bookmarkStart w:id="79" w:name="_Toc23005_WPSOffice_Level2"/>
      <w:bookmarkStart w:id="80" w:name="_Toc21737_WPSOffice_Level2"/>
      <w:bookmarkStart w:id="81" w:name="_Toc9989_WPSOffice_Level2"/>
      <w:r>
        <w:rPr>
          <w:rFonts w:hint="eastAsia" w:ascii="楷体" w:hAnsi="楷体" w:eastAsia="楷体" w:cs="楷体"/>
          <w:b/>
          <w:sz w:val="32"/>
          <w:szCs w:val="32"/>
        </w:rPr>
        <w:t>（一）一般公共预算财政拨款支出决算总体情况</w:t>
      </w:r>
      <w:bookmarkEnd w:id="76"/>
      <w:bookmarkEnd w:id="77"/>
      <w:r>
        <w:rPr>
          <w:rFonts w:hint="eastAsia" w:ascii="楷体" w:hAnsi="楷体" w:eastAsia="楷体" w:cs="楷体"/>
          <w:b/>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年度一般公共预算财政拨款支出2</w:t>
      </w:r>
      <w:r>
        <w:rPr>
          <w:rFonts w:hint="eastAsia" w:ascii="仿宋" w:hAnsi="仿宋" w:eastAsia="仿宋"/>
          <w:sz w:val="32"/>
          <w:szCs w:val="32"/>
          <w:lang w:val="en-US" w:eastAsia="zh-CN"/>
        </w:rPr>
        <w:t>64.88</w:t>
      </w:r>
      <w:r>
        <w:rPr>
          <w:rFonts w:hint="eastAsia" w:ascii="仿宋" w:hAnsi="仿宋" w:eastAsia="仿宋"/>
          <w:sz w:val="32"/>
          <w:szCs w:val="32"/>
        </w:rPr>
        <w:t>万元，占本年支出合计的100%。与20</w:t>
      </w:r>
      <w:r>
        <w:rPr>
          <w:rFonts w:hint="eastAsia" w:ascii="仿宋" w:hAnsi="仿宋" w:eastAsia="仿宋"/>
          <w:sz w:val="32"/>
          <w:szCs w:val="32"/>
          <w:lang w:val="en-US" w:eastAsia="zh-CN"/>
        </w:rPr>
        <w:t>20</w:t>
      </w:r>
      <w:r>
        <w:rPr>
          <w:rFonts w:hint="eastAsia" w:ascii="仿宋" w:hAnsi="仿宋" w:eastAsia="仿宋"/>
          <w:sz w:val="32"/>
          <w:szCs w:val="32"/>
        </w:rPr>
        <w:t>年度2</w:t>
      </w:r>
      <w:r>
        <w:rPr>
          <w:rFonts w:hint="eastAsia" w:ascii="仿宋" w:hAnsi="仿宋" w:eastAsia="仿宋"/>
          <w:sz w:val="32"/>
          <w:szCs w:val="32"/>
          <w:lang w:val="en-US" w:eastAsia="zh-CN"/>
        </w:rPr>
        <w:t>44.29</w:t>
      </w:r>
      <w:r>
        <w:rPr>
          <w:rFonts w:hint="eastAsia" w:ascii="仿宋" w:hAnsi="仿宋" w:eastAsia="仿宋"/>
          <w:sz w:val="32"/>
          <w:szCs w:val="32"/>
        </w:rPr>
        <w:t>万元相比，一般公共预算财政拨款支出增加2</w:t>
      </w:r>
      <w:r>
        <w:rPr>
          <w:rFonts w:hint="eastAsia" w:ascii="仿宋" w:hAnsi="仿宋" w:eastAsia="仿宋"/>
          <w:sz w:val="32"/>
          <w:szCs w:val="32"/>
          <w:lang w:val="en-US" w:eastAsia="zh-CN"/>
        </w:rPr>
        <w:t>0.59</w:t>
      </w:r>
      <w:r>
        <w:rPr>
          <w:rFonts w:hint="eastAsia" w:ascii="仿宋" w:hAnsi="仿宋" w:eastAsia="仿宋"/>
          <w:sz w:val="32"/>
          <w:szCs w:val="32"/>
        </w:rPr>
        <w:t>万元，增长</w:t>
      </w:r>
      <w:r>
        <w:rPr>
          <w:rFonts w:hint="eastAsia" w:ascii="仿宋" w:hAnsi="仿宋" w:eastAsia="仿宋"/>
          <w:sz w:val="32"/>
          <w:szCs w:val="32"/>
          <w:lang w:val="en-US" w:eastAsia="zh-CN"/>
        </w:rPr>
        <w:t>8.43</w:t>
      </w:r>
      <w:r>
        <w:rPr>
          <w:rFonts w:hint="eastAsia" w:ascii="仿宋" w:hAnsi="仿宋" w:eastAsia="仿宋"/>
          <w:sz w:val="32"/>
          <w:szCs w:val="32"/>
        </w:rPr>
        <w:t>%，</w:t>
      </w:r>
      <w:bookmarkStart w:id="82" w:name="_Toc18793_WPSOffice_Level2"/>
      <w:bookmarkStart w:id="83" w:name="_Toc2711_WPSOffice_Level2"/>
      <w:bookmarkStart w:id="84" w:name="_Toc27767_WPSOffice_Level2"/>
      <w:bookmarkStart w:id="85" w:name="_Toc19535_WPSOffice_Level2"/>
      <w:bookmarkStart w:id="86" w:name="_Toc23864_WPSOffice_Level2"/>
      <w:bookmarkStart w:id="87" w:name="_Toc19075_WPSOffice_Level2"/>
      <w:r>
        <w:rPr>
          <w:rFonts w:hint="eastAsia" w:ascii="仿宋" w:hAnsi="仿宋" w:eastAsia="仿宋"/>
          <w:sz w:val="32"/>
          <w:szCs w:val="32"/>
        </w:rPr>
        <w:t>原因是：</w:t>
      </w:r>
      <w:r>
        <w:rPr>
          <w:rFonts w:hint="eastAsia" w:ascii="仿宋" w:hAnsi="仿宋" w:eastAsia="仿宋"/>
          <w:sz w:val="32"/>
          <w:szCs w:val="32"/>
          <w:lang w:val="en-US" w:eastAsia="zh-CN"/>
        </w:rPr>
        <w:t>2021年</w:t>
      </w:r>
      <w:r>
        <w:rPr>
          <w:rFonts w:hint="eastAsia" w:ascii="仿宋" w:hAnsi="仿宋" w:eastAsia="仿宋"/>
          <w:sz w:val="32"/>
          <w:szCs w:val="32"/>
          <w:lang w:eastAsia="zh-CN"/>
        </w:rPr>
        <w:t>增加三亚东、西河航标配布项目费用</w:t>
      </w:r>
      <w:r>
        <w:rPr>
          <w:rFonts w:hint="eastAsia" w:ascii="仿宋" w:hAnsi="仿宋" w:eastAsia="仿宋"/>
          <w:sz w:val="32"/>
          <w:szCs w:val="32"/>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2"/>
      <w:bookmarkEnd w:id="83"/>
      <w:r>
        <w:rPr>
          <w:rFonts w:hint="eastAsia" w:ascii="楷体" w:hAnsi="楷体" w:eastAsia="楷体" w:cs="楷体"/>
          <w:b/>
          <w:sz w:val="32"/>
          <w:szCs w:val="32"/>
        </w:rPr>
        <w:t>。</w:t>
      </w:r>
      <w:bookmarkEnd w:id="84"/>
      <w:bookmarkEnd w:id="85"/>
      <w:bookmarkEnd w:id="86"/>
      <w:bookmarkEnd w:id="87"/>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年度一般公共预算财政拨款支出2</w:t>
      </w:r>
      <w:r>
        <w:rPr>
          <w:rFonts w:hint="eastAsia" w:ascii="仿宋" w:hAnsi="仿宋" w:eastAsia="仿宋"/>
          <w:sz w:val="32"/>
          <w:szCs w:val="32"/>
          <w:lang w:val="en-US" w:eastAsia="zh-CN"/>
        </w:rPr>
        <w:t>64.88</w:t>
      </w:r>
      <w:r>
        <w:rPr>
          <w:rFonts w:hint="eastAsia" w:ascii="仿宋" w:hAnsi="仿宋" w:eastAsia="仿宋"/>
          <w:sz w:val="32"/>
          <w:szCs w:val="32"/>
        </w:rPr>
        <w:t>万元，主要用于以下方面：社会保障和就业（类）支出</w:t>
      </w:r>
      <w:r>
        <w:rPr>
          <w:rFonts w:hint="eastAsia" w:ascii="仿宋" w:hAnsi="仿宋" w:eastAsia="仿宋"/>
          <w:sz w:val="32"/>
          <w:szCs w:val="32"/>
          <w:lang w:val="en-US" w:eastAsia="zh-CN"/>
        </w:rPr>
        <w:t>5.82</w:t>
      </w:r>
      <w:r>
        <w:rPr>
          <w:rFonts w:hint="eastAsia" w:ascii="仿宋" w:hAnsi="仿宋" w:eastAsia="仿宋"/>
          <w:sz w:val="32"/>
          <w:szCs w:val="32"/>
        </w:rPr>
        <w:t>万元，占2.</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cs="Arial"/>
          <w:color w:val="000000"/>
          <w:kern w:val="0"/>
          <w:sz w:val="32"/>
          <w:szCs w:val="32"/>
        </w:rPr>
        <w:t>卫生健康</w:t>
      </w:r>
      <w:r>
        <w:rPr>
          <w:rFonts w:hint="eastAsia" w:ascii="仿宋" w:hAnsi="仿宋" w:eastAsia="仿宋"/>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rPr>
        <w:t>3.</w:t>
      </w:r>
      <w:r>
        <w:rPr>
          <w:rFonts w:hint="eastAsia" w:ascii="仿宋" w:hAnsi="仿宋" w:eastAsia="仿宋"/>
          <w:sz w:val="32"/>
          <w:szCs w:val="32"/>
          <w:lang w:val="en-US" w:eastAsia="zh-CN"/>
        </w:rPr>
        <w:t>09</w:t>
      </w:r>
      <w:r>
        <w:rPr>
          <w:rFonts w:hint="eastAsia" w:ascii="仿宋" w:hAnsi="仿宋" w:eastAsia="仿宋"/>
          <w:sz w:val="32"/>
          <w:szCs w:val="32"/>
        </w:rPr>
        <w:t>万元，占1.</w:t>
      </w:r>
      <w:r>
        <w:rPr>
          <w:rFonts w:hint="eastAsia" w:ascii="仿宋" w:hAnsi="仿宋" w:eastAsia="仿宋"/>
          <w:sz w:val="32"/>
          <w:szCs w:val="32"/>
          <w:lang w:val="en-US" w:eastAsia="zh-CN"/>
        </w:rPr>
        <w:t>17</w:t>
      </w:r>
      <w:r>
        <w:rPr>
          <w:rFonts w:hint="eastAsia" w:ascii="仿宋" w:hAnsi="仿宋" w:eastAsia="仿宋"/>
          <w:sz w:val="32"/>
          <w:szCs w:val="32"/>
        </w:rPr>
        <w:t>%；</w:t>
      </w:r>
      <w:r>
        <w:rPr>
          <w:rFonts w:hint="eastAsia" w:ascii="仿宋" w:hAnsi="仿宋" w:eastAsia="仿宋" w:cs="Arial"/>
          <w:color w:val="000000"/>
          <w:kern w:val="0"/>
          <w:sz w:val="32"/>
          <w:szCs w:val="32"/>
        </w:rPr>
        <w:t>交通运输</w:t>
      </w:r>
      <w:r>
        <w:rPr>
          <w:rFonts w:hint="eastAsia" w:ascii="仿宋" w:hAnsi="仿宋" w:eastAsia="仿宋"/>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lang w:val="en-US" w:eastAsia="zh-CN"/>
        </w:rPr>
        <w:t>251.33</w:t>
      </w:r>
      <w:r>
        <w:rPr>
          <w:rFonts w:hint="eastAsia" w:ascii="仿宋" w:hAnsi="仿宋" w:eastAsia="仿宋"/>
          <w:sz w:val="32"/>
          <w:szCs w:val="32"/>
        </w:rPr>
        <w:t>万元，占94.</w:t>
      </w:r>
      <w:r>
        <w:rPr>
          <w:rFonts w:hint="eastAsia" w:ascii="仿宋" w:hAnsi="仿宋" w:eastAsia="仿宋"/>
          <w:sz w:val="32"/>
          <w:szCs w:val="32"/>
          <w:lang w:val="en-US" w:eastAsia="zh-CN"/>
        </w:rPr>
        <w:t>88</w:t>
      </w:r>
      <w:r>
        <w:rPr>
          <w:rFonts w:hint="eastAsia" w:ascii="仿宋" w:hAnsi="仿宋" w:eastAsia="仿宋"/>
          <w:sz w:val="32"/>
          <w:szCs w:val="32"/>
        </w:rPr>
        <w:t>%；</w:t>
      </w:r>
      <w:r>
        <w:rPr>
          <w:rFonts w:hint="eastAsia" w:ascii="仿宋" w:hAnsi="仿宋" w:eastAsia="仿宋"/>
          <w:bCs/>
          <w:sz w:val="32"/>
          <w:szCs w:val="32"/>
        </w:rPr>
        <w:t>住房保障（类）</w:t>
      </w:r>
      <w:r>
        <w:rPr>
          <w:rFonts w:hint="eastAsia" w:ascii="仿宋" w:hAnsi="仿宋" w:eastAsia="仿宋"/>
          <w:sz w:val="32"/>
          <w:szCs w:val="32"/>
        </w:rPr>
        <w:t>支出4.</w:t>
      </w:r>
      <w:r>
        <w:rPr>
          <w:rFonts w:hint="eastAsia" w:ascii="仿宋" w:hAnsi="仿宋" w:eastAsia="仿宋"/>
          <w:sz w:val="32"/>
          <w:szCs w:val="32"/>
          <w:lang w:val="en-US" w:eastAsia="zh-CN"/>
        </w:rPr>
        <w:t>64</w:t>
      </w:r>
      <w:r>
        <w:rPr>
          <w:rFonts w:hint="eastAsia" w:ascii="仿宋" w:hAnsi="仿宋" w:eastAsia="仿宋"/>
          <w:sz w:val="32"/>
          <w:szCs w:val="32"/>
        </w:rPr>
        <w:t>万元，占1.</w:t>
      </w:r>
      <w:r>
        <w:rPr>
          <w:rFonts w:hint="eastAsia" w:ascii="仿宋" w:hAnsi="仿宋" w:eastAsia="仿宋"/>
          <w:sz w:val="32"/>
          <w:szCs w:val="32"/>
          <w:lang w:val="en-US" w:eastAsia="zh-CN"/>
        </w:rPr>
        <w:t>75</w:t>
      </w:r>
      <w:r>
        <w:rPr>
          <w:rFonts w:hint="eastAsia" w:ascii="仿宋" w:hAnsi="仿宋" w:eastAsia="仿宋"/>
          <w:sz w:val="32"/>
          <w:szCs w:val="32"/>
        </w:rPr>
        <w:t>%。</w:t>
      </w:r>
    </w:p>
    <w:p>
      <w:pPr>
        <w:ind w:firstLine="643" w:firstLineChars="200"/>
        <w:rPr>
          <w:rFonts w:ascii="楷体" w:hAnsi="楷体" w:eastAsia="楷体" w:cs="楷体"/>
          <w:b/>
          <w:sz w:val="32"/>
          <w:szCs w:val="32"/>
        </w:rPr>
      </w:pPr>
      <w:bookmarkStart w:id="88" w:name="_Toc29364_WPSOffice_Level2"/>
      <w:bookmarkStart w:id="89" w:name="_Toc22318_WPSOffice_Level2"/>
      <w:bookmarkStart w:id="90" w:name="_Toc15415_WPSOffice_Level2"/>
      <w:bookmarkStart w:id="91" w:name="_Toc25136_WPSOffice_Level2"/>
      <w:bookmarkStart w:id="92" w:name="_Toc21701_WPSOffice_Level2"/>
      <w:bookmarkStart w:id="93" w:name="_Toc9502_WPSOffice_Level2"/>
      <w:r>
        <w:rPr>
          <w:rFonts w:hint="eastAsia" w:ascii="楷体" w:hAnsi="楷体" w:eastAsia="楷体" w:cs="楷体"/>
          <w:b/>
          <w:sz w:val="32"/>
          <w:szCs w:val="32"/>
        </w:rPr>
        <w:t>（三）一般公共预算财政拨款支出决算具体情况。</w:t>
      </w:r>
      <w:bookmarkEnd w:id="88"/>
      <w:bookmarkEnd w:id="89"/>
      <w:bookmarkEnd w:id="90"/>
      <w:bookmarkEnd w:id="91"/>
      <w:bookmarkEnd w:id="92"/>
      <w:bookmarkEnd w:id="93"/>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年度一般公共预算财政拨款支出年初预算为</w:t>
      </w:r>
      <w:r>
        <w:rPr>
          <w:rFonts w:hint="eastAsia" w:ascii="仿宋" w:hAnsi="仿宋" w:eastAsia="仿宋"/>
          <w:sz w:val="32"/>
          <w:szCs w:val="32"/>
          <w:lang w:val="en-US" w:eastAsia="zh-CN"/>
        </w:rPr>
        <w:t>264.08</w:t>
      </w:r>
      <w:r>
        <w:rPr>
          <w:rFonts w:hint="eastAsia" w:ascii="仿宋" w:hAnsi="仿宋" w:eastAsia="仿宋"/>
          <w:sz w:val="32"/>
          <w:szCs w:val="32"/>
        </w:rPr>
        <w:t>万元，支出决算为2</w:t>
      </w:r>
      <w:r>
        <w:rPr>
          <w:rFonts w:hint="eastAsia" w:ascii="仿宋" w:hAnsi="仿宋" w:eastAsia="仿宋"/>
          <w:sz w:val="32"/>
          <w:szCs w:val="32"/>
          <w:lang w:val="en-US" w:eastAsia="zh-CN"/>
        </w:rPr>
        <w:t>64.88</w:t>
      </w:r>
      <w:r>
        <w:rPr>
          <w:rFonts w:hint="eastAsia" w:ascii="仿宋" w:hAnsi="仿宋" w:eastAsia="仿宋"/>
          <w:sz w:val="32"/>
          <w:szCs w:val="32"/>
        </w:rPr>
        <w:t>万元，完成年初预算的</w:t>
      </w:r>
      <w:r>
        <w:rPr>
          <w:rFonts w:hint="eastAsia" w:ascii="仿宋" w:hAnsi="仿宋" w:eastAsia="仿宋"/>
          <w:sz w:val="32"/>
          <w:szCs w:val="32"/>
          <w:lang w:val="en-US" w:eastAsia="zh-CN"/>
        </w:rPr>
        <w:t>100.31</w:t>
      </w:r>
      <w:r>
        <w:rPr>
          <w:rFonts w:hint="eastAsia" w:ascii="仿宋" w:hAnsi="仿宋" w:eastAsia="仿宋"/>
          <w:sz w:val="32"/>
          <w:szCs w:val="32"/>
        </w:rPr>
        <w:t>%。其中：</w:t>
      </w:r>
    </w:p>
    <w:p>
      <w:pPr>
        <w:ind w:firstLine="640" w:firstLineChars="200"/>
        <w:rPr>
          <w:rFonts w:ascii="仿宋" w:hAnsi="仿宋" w:eastAsia="仿宋"/>
          <w:b/>
          <w:color w:val="000000"/>
          <w:sz w:val="32"/>
          <w:szCs w:val="32"/>
        </w:rPr>
      </w:pPr>
      <w:r>
        <w:rPr>
          <w:rFonts w:hint="eastAsia" w:ascii="仿宋" w:hAnsi="仿宋" w:eastAsia="仿宋"/>
          <w:sz w:val="32"/>
          <w:szCs w:val="32"/>
        </w:rPr>
        <w:t>1.</w:t>
      </w:r>
      <w:r>
        <w:rPr>
          <w:rFonts w:hint="eastAsia" w:ascii="仿宋" w:hAnsi="仿宋" w:eastAsia="仿宋"/>
          <w:b/>
          <w:sz w:val="32"/>
          <w:szCs w:val="32"/>
        </w:rPr>
        <w:t>社会保障和就业（类）支出</w:t>
      </w:r>
      <w:r>
        <w:rPr>
          <w:rFonts w:hint="eastAsia" w:ascii="仿宋" w:hAnsi="仿宋" w:eastAsia="仿宋"/>
          <w:b/>
          <w:color w:val="000000"/>
          <w:sz w:val="32"/>
          <w:szCs w:val="32"/>
        </w:rPr>
        <w:t>行政事业单位养老支出（款）机关事业单位基本养老保险缴费支出（项）</w:t>
      </w:r>
    </w:p>
    <w:p>
      <w:pPr>
        <w:ind w:firstLine="640" w:firstLineChars="200"/>
        <w:rPr>
          <w:rFonts w:ascii="仿宋" w:hAnsi="仿宋" w:eastAsia="仿宋"/>
          <w:color w:val="00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年年初预算为5.</w:t>
      </w:r>
      <w:r>
        <w:rPr>
          <w:rFonts w:hint="eastAsia" w:ascii="仿宋" w:hAnsi="仿宋" w:eastAsia="仿宋"/>
          <w:sz w:val="32"/>
          <w:szCs w:val="32"/>
          <w:lang w:val="en-US" w:eastAsia="zh-CN"/>
        </w:rPr>
        <w:t>82</w:t>
      </w:r>
      <w:r>
        <w:rPr>
          <w:rFonts w:hint="eastAsia" w:ascii="仿宋" w:hAnsi="仿宋" w:eastAsia="仿宋"/>
          <w:sz w:val="32"/>
          <w:szCs w:val="32"/>
        </w:rPr>
        <w:t>万元，支出决算为</w:t>
      </w:r>
      <w:r>
        <w:rPr>
          <w:rFonts w:hint="eastAsia" w:ascii="仿宋" w:hAnsi="仿宋" w:eastAsia="仿宋"/>
          <w:sz w:val="32"/>
          <w:szCs w:val="32"/>
          <w:lang w:val="en-US" w:eastAsia="zh-CN"/>
        </w:rPr>
        <w:t>5.82</w:t>
      </w:r>
      <w:r>
        <w:rPr>
          <w:rFonts w:hint="eastAsia" w:ascii="仿宋" w:hAnsi="仿宋" w:eastAsia="仿宋"/>
          <w:sz w:val="32"/>
          <w:szCs w:val="32"/>
        </w:rPr>
        <w:t>万元，完成年初预算的1</w:t>
      </w:r>
      <w:r>
        <w:rPr>
          <w:rFonts w:hint="eastAsia" w:ascii="仿宋" w:hAnsi="仿宋" w:eastAsia="仿宋"/>
          <w:sz w:val="32"/>
          <w:szCs w:val="32"/>
          <w:lang w:val="en-US" w:eastAsia="zh-CN"/>
        </w:rPr>
        <w:t>00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w:t>
      </w:r>
      <w:r>
        <w:rPr>
          <w:rFonts w:hint="eastAsia" w:ascii="仿宋" w:hAnsi="仿宋" w:eastAsia="仿宋"/>
          <w:sz w:val="32"/>
          <w:szCs w:val="32"/>
          <w:lang w:eastAsia="zh-CN"/>
        </w:rPr>
        <w:t>持平。</w:t>
      </w:r>
    </w:p>
    <w:p>
      <w:pPr>
        <w:ind w:firstLine="630"/>
        <w:rPr>
          <w:rFonts w:ascii="仿宋" w:hAnsi="仿宋" w:eastAsia="仿宋"/>
          <w:b/>
          <w:color w:val="000000"/>
          <w:sz w:val="32"/>
          <w:szCs w:val="32"/>
        </w:rPr>
      </w:pPr>
      <w:r>
        <w:rPr>
          <w:rFonts w:hint="eastAsia" w:ascii="仿宋" w:hAnsi="仿宋" w:eastAsia="仿宋"/>
          <w:sz w:val="32"/>
          <w:szCs w:val="32"/>
        </w:rPr>
        <w:t>2.</w:t>
      </w:r>
      <w:r>
        <w:rPr>
          <w:rFonts w:hint="eastAsia" w:ascii="仿宋" w:hAnsi="仿宋" w:eastAsia="仿宋" w:cs="Arial"/>
          <w:b/>
          <w:color w:val="000000"/>
          <w:kern w:val="0"/>
          <w:sz w:val="32"/>
          <w:szCs w:val="32"/>
        </w:rPr>
        <w:t>卫生健康</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行政事业单位医疗（款）事业单位医（项）疗</w:t>
      </w:r>
    </w:p>
    <w:p>
      <w:pPr>
        <w:ind w:firstLine="63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年年初预算为3.0</w:t>
      </w:r>
      <w:r>
        <w:rPr>
          <w:rFonts w:hint="eastAsia" w:ascii="仿宋" w:hAnsi="仿宋" w:eastAsia="仿宋"/>
          <w:sz w:val="32"/>
          <w:szCs w:val="32"/>
          <w:lang w:val="en-US" w:eastAsia="zh-CN"/>
        </w:rPr>
        <w:t>9</w:t>
      </w:r>
      <w:r>
        <w:rPr>
          <w:rFonts w:hint="eastAsia" w:ascii="仿宋" w:hAnsi="仿宋" w:eastAsia="仿宋"/>
          <w:sz w:val="32"/>
          <w:szCs w:val="32"/>
        </w:rPr>
        <w:t>万元，支出决算为</w:t>
      </w:r>
      <w:r>
        <w:rPr>
          <w:rFonts w:hint="eastAsia" w:ascii="仿宋" w:hAnsi="仿宋" w:eastAsia="仿宋"/>
          <w:sz w:val="32"/>
          <w:szCs w:val="32"/>
          <w:lang w:val="en-US" w:eastAsia="zh-CN"/>
        </w:rPr>
        <w:t>3.09</w:t>
      </w:r>
      <w:r>
        <w:rPr>
          <w:rFonts w:hint="eastAsia" w:ascii="仿宋" w:hAnsi="仿宋" w:eastAsia="仿宋"/>
          <w:sz w:val="32"/>
          <w:szCs w:val="32"/>
        </w:rPr>
        <w:t>万元，完成年初预算的1</w:t>
      </w:r>
      <w:r>
        <w:rPr>
          <w:rFonts w:hint="eastAsia" w:ascii="仿宋" w:hAnsi="仿宋" w:eastAsia="仿宋"/>
          <w:sz w:val="32"/>
          <w:szCs w:val="32"/>
          <w:lang w:val="en-US" w:eastAsia="zh-CN"/>
        </w:rPr>
        <w:t>00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w:t>
      </w:r>
      <w:r>
        <w:rPr>
          <w:rFonts w:hint="eastAsia" w:ascii="仿宋" w:hAnsi="仿宋" w:eastAsia="仿宋"/>
          <w:sz w:val="32"/>
          <w:szCs w:val="32"/>
          <w:lang w:eastAsia="zh-CN"/>
        </w:rPr>
        <w:t>持平。</w:t>
      </w:r>
    </w:p>
    <w:p>
      <w:pPr>
        <w:ind w:firstLine="630"/>
        <w:rPr>
          <w:rFonts w:ascii="仿宋" w:hAnsi="仿宋" w:eastAsia="仿宋"/>
          <w:b/>
          <w:color w:val="000000"/>
          <w:sz w:val="32"/>
          <w:szCs w:val="32"/>
        </w:rPr>
      </w:pPr>
      <w:r>
        <w:rPr>
          <w:rFonts w:hint="eastAsia" w:ascii="仿宋" w:hAnsi="仿宋" w:eastAsia="仿宋"/>
          <w:sz w:val="32"/>
          <w:szCs w:val="32"/>
        </w:rPr>
        <w:t>3.</w:t>
      </w:r>
      <w:r>
        <w:rPr>
          <w:rFonts w:hint="eastAsia" w:ascii="仿宋" w:hAnsi="仿宋" w:eastAsia="仿宋" w:cs="Arial"/>
          <w:b/>
          <w:color w:val="000000"/>
          <w:kern w:val="0"/>
          <w:sz w:val="32"/>
          <w:szCs w:val="32"/>
        </w:rPr>
        <w:t>交通运输</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公路水路运输（款）航道维护（项）</w:t>
      </w:r>
    </w:p>
    <w:p>
      <w:pPr>
        <w:ind w:firstLine="63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年年初预算为1</w:t>
      </w:r>
      <w:r>
        <w:rPr>
          <w:rFonts w:hint="eastAsia" w:ascii="仿宋" w:hAnsi="仿宋" w:eastAsia="仿宋"/>
          <w:sz w:val="32"/>
          <w:szCs w:val="32"/>
          <w:lang w:val="en-US" w:eastAsia="zh-CN"/>
        </w:rPr>
        <w:t>81.87</w:t>
      </w:r>
      <w:r>
        <w:rPr>
          <w:rFonts w:hint="eastAsia" w:ascii="仿宋" w:hAnsi="仿宋" w:eastAsia="仿宋"/>
          <w:sz w:val="32"/>
          <w:szCs w:val="32"/>
        </w:rPr>
        <w:t>万元，支出决算为</w:t>
      </w:r>
      <w:r>
        <w:rPr>
          <w:rFonts w:hint="eastAsia" w:ascii="仿宋" w:hAnsi="仿宋" w:eastAsia="仿宋"/>
          <w:sz w:val="32"/>
          <w:szCs w:val="32"/>
          <w:lang w:val="en-US" w:eastAsia="zh-CN"/>
        </w:rPr>
        <w:t>181.87</w:t>
      </w:r>
      <w:r>
        <w:rPr>
          <w:rFonts w:hint="eastAsia" w:ascii="仿宋" w:hAnsi="仿宋" w:eastAsia="仿宋"/>
          <w:sz w:val="32"/>
          <w:szCs w:val="32"/>
        </w:rPr>
        <w:t>万元，完成年初预算的</w:t>
      </w:r>
      <w:r>
        <w:rPr>
          <w:rFonts w:hint="eastAsia" w:ascii="仿宋" w:hAnsi="仿宋" w:eastAsia="仿宋"/>
          <w:sz w:val="32"/>
          <w:szCs w:val="32"/>
          <w:lang w:val="en-US" w:eastAsia="zh-CN"/>
        </w:rPr>
        <w:t>100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w:t>
      </w:r>
      <w:r>
        <w:rPr>
          <w:rFonts w:hint="eastAsia" w:ascii="仿宋" w:hAnsi="仿宋" w:eastAsia="仿宋"/>
          <w:sz w:val="32"/>
          <w:szCs w:val="32"/>
          <w:lang w:eastAsia="zh-CN"/>
        </w:rPr>
        <w:t>持平。</w:t>
      </w:r>
    </w:p>
    <w:p>
      <w:pPr>
        <w:ind w:firstLine="630"/>
        <w:rPr>
          <w:rFonts w:ascii="仿宋" w:hAnsi="仿宋" w:eastAsia="仿宋"/>
          <w:b/>
          <w:color w:val="000000"/>
          <w:sz w:val="32"/>
          <w:szCs w:val="32"/>
        </w:rPr>
      </w:pPr>
      <w:r>
        <w:rPr>
          <w:rFonts w:hint="eastAsia" w:ascii="仿宋" w:hAnsi="仿宋" w:eastAsia="仿宋"/>
          <w:sz w:val="32"/>
          <w:szCs w:val="32"/>
        </w:rPr>
        <w:t>4.</w:t>
      </w:r>
      <w:r>
        <w:rPr>
          <w:rFonts w:hint="eastAsia" w:ascii="仿宋" w:hAnsi="仿宋" w:eastAsia="仿宋" w:cs="Arial"/>
          <w:b/>
          <w:color w:val="000000"/>
          <w:kern w:val="0"/>
          <w:sz w:val="32"/>
          <w:szCs w:val="32"/>
        </w:rPr>
        <w:t>交通运输</w:t>
      </w:r>
      <w:r>
        <w:rPr>
          <w:rFonts w:hint="eastAsia" w:ascii="仿宋" w:hAnsi="仿宋" w:eastAsia="仿宋"/>
          <w:b/>
          <w:sz w:val="32"/>
          <w:szCs w:val="32"/>
        </w:rPr>
        <w:t>（类）</w:t>
      </w:r>
      <w:r>
        <w:rPr>
          <w:rFonts w:hint="eastAsia" w:ascii="仿宋" w:hAnsi="仿宋" w:eastAsia="仿宋" w:cs="Arial"/>
          <w:b/>
          <w:color w:val="000000"/>
          <w:kern w:val="0"/>
          <w:sz w:val="32"/>
          <w:szCs w:val="32"/>
        </w:rPr>
        <w:t>支出</w:t>
      </w:r>
      <w:r>
        <w:rPr>
          <w:rFonts w:hint="eastAsia" w:ascii="仿宋" w:hAnsi="仿宋" w:eastAsia="仿宋"/>
          <w:b/>
          <w:color w:val="000000"/>
          <w:sz w:val="32"/>
          <w:szCs w:val="32"/>
        </w:rPr>
        <w:t>公路水路运输（款）其他公路水路运输支出（项）</w:t>
      </w:r>
    </w:p>
    <w:p>
      <w:pPr>
        <w:ind w:firstLine="630"/>
        <w:rPr>
          <w:rFonts w:ascii="仿宋" w:hAnsi="仿宋" w:eastAsia="仿宋"/>
          <w:color w:val="00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w:t>
      </w:r>
      <w:r>
        <w:rPr>
          <w:rFonts w:hint="eastAsia" w:ascii="仿宋" w:hAnsi="仿宋" w:eastAsia="仿宋"/>
          <w:sz w:val="32"/>
          <w:szCs w:val="32"/>
          <w:lang w:val="en-US" w:eastAsia="zh-CN"/>
        </w:rPr>
        <w:t>68.66</w:t>
      </w:r>
      <w:r>
        <w:rPr>
          <w:rFonts w:hint="eastAsia" w:ascii="仿宋" w:hAnsi="仿宋" w:eastAsia="仿宋"/>
          <w:sz w:val="32"/>
          <w:szCs w:val="32"/>
        </w:rPr>
        <w:t>万元，支出决算为</w:t>
      </w:r>
      <w:r>
        <w:rPr>
          <w:rFonts w:hint="eastAsia" w:ascii="仿宋" w:hAnsi="仿宋" w:eastAsia="仿宋"/>
          <w:sz w:val="32"/>
          <w:szCs w:val="32"/>
          <w:lang w:val="en-US" w:eastAsia="zh-CN"/>
        </w:rPr>
        <w:t>69.46</w:t>
      </w:r>
      <w:r>
        <w:rPr>
          <w:rFonts w:hint="eastAsia" w:ascii="仿宋" w:hAnsi="仿宋" w:eastAsia="仿宋"/>
          <w:sz w:val="32"/>
          <w:szCs w:val="32"/>
        </w:rPr>
        <w:t>万元，完成年初预算的</w:t>
      </w:r>
      <w:r>
        <w:rPr>
          <w:rFonts w:hint="eastAsia" w:ascii="仿宋" w:hAnsi="仿宋" w:eastAsia="仿宋"/>
          <w:sz w:val="32"/>
          <w:szCs w:val="32"/>
          <w:lang w:val="en-US" w:eastAsia="zh-CN"/>
        </w:rPr>
        <w:t>101.17</w:t>
      </w:r>
      <w:r>
        <w:rPr>
          <w:rFonts w:hint="eastAsia" w:ascii="仿宋" w:hAnsi="仿宋" w:eastAsia="仿宋"/>
          <w:sz w:val="32"/>
          <w:szCs w:val="32"/>
        </w:rPr>
        <w:t>%</w:t>
      </w:r>
      <w:r>
        <w:rPr>
          <w:rFonts w:hint="eastAsia" w:ascii="仿宋" w:hAnsi="仿宋" w:eastAsia="仿宋"/>
          <w:color w:val="000000"/>
          <w:sz w:val="32"/>
          <w:szCs w:val="32"/>
          <w:lang w:eastAsia="zh-CN"/>
        </w:rPr>
        <w:t>，决算数大于预算数的主要原因是追加职工正常晋升工资及应休未休工资。</w:t>
      </w:r>
    </w:p>
    <w:p>
      <w:pPr>
        <w:ind w:firstLine="640" w:firstLineChars="200"/>
        <w:rPr>
          <w:rFonts w:ascii="仿宋" w:hAnsi="仿宋" w:eastAsia="仿宋"/>
          <w:b/>
          <w:color w:val="000000"/>
          <w:sz w:val="32"/>
          <w:szCs w:val="32"/>
        </w:rPr>
      </w:pPr>
      <w:r>
        <w:rPr>
          <w:rFonts w:hint="eastAsia" w:ascii="仿宋" w:hAnsi="仿宋" w:eastAsia="仿宋"/>
          <w:sz w:val="32"/>
          <w:szCs w:val="32"/>
        </w:rPr>
        <w:t>5.</w:t>
      </w:r>
      <w:r>
        <w:rPr>
          <w:rFonts w:hint="eastAsia" w:ascii="仿宋" w:hAnsi="仿宋" w:eastAsia="仿宋"/>
          <w:b/>
          <w:color w:val="000000"/>
          <w:sz w:val="32"/>
          <w:szCs w:val="32"/>
        </w:rPr>
        <w:t>住房保障</w:t>
      </w:r>
      <w:r>
        <w:rPr>
          <w:rFonts w:hint="eastAsia" w:ascii="仿宋" w:hAnsi="仿宋" w:eastAsia="仿宋"/>
          <w:b/>
          <w:sz w:val="32"/>
          <w:szCs w:val="32"/>
        </w:rPr>
        <w:t>（类）</w:t>
      </w:r>
      <w:r>
        <w:rPr>
          <w:rFonts w:hint="eastAsia" w:ascii="仿宋" w:hAnsi="仿宋" w:eastAsia="仿宋" w:cs="仿宋_GB2312"/>
          <w:b/>
          <w:color w:val="000000"/>
          <w:sz w:val="32"/>
          <w:szCs w:val="32"/>
        </w:rPr>
        <w:t>支出住房改革支出</w:t>
      </w:r>
      <w:r>
        <w:rPr>
          <w:rFonts w:hint="eastAsia" w:ascii="仿宋" w:hAnsi="仿宋" w:eastAsia="仿宋"/>
          <w:b/>
          <w:color w:val="000000"/>
          <w:sz w:val="32"/>
          <w:szCs w:val="32"/>
        </w:rPr>
        <w:t>（款）</w:t>
      </w:r>
      <w:r>
        <w:rPr>
          <w:rFonts w:hint="eastAsia" w:ascii="仿宋" w:hAnsi="仿宋" w:eastAsia="仿宋" w:cs="仿宋_GB2312"/>
          <w:b/>
          <w:color w:val="000000"/>
          <w:sz w:val="32"/>
          <w:szCs w:val="32"/>
        </w:rPr>
        <w:t>住房公积金</w:t>
      </w:r>
      <w:r>
        <w:rPr>
          <w:rFonts w:hint="eastAsia" w:ascii="仿宋" w:hAnsi="仿宋" w:eastAsia="仿宋"/>
          <w:b/>
          <w:color w:val="000000"/>
          <w:sz w:val="32"/>
          <w:szCs w:val="32"/>
        </w:rPr>
        <w:t>（项）</w:t>
      </w:r>
    </w:p>
    <w:p>
      <w:pPr>
        <w:ind w:firstLine="640" w:firstLineChars="200"/>
        <w:rPr>
          <w:rFonts w:hint="default" w:ascii="仿宋" w:hAnsi="仿宋" w:eastAsia="仿宋"/>
          <w:color w:val="000000"/>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年年初预算为4.6</w:t>
      </w:r>
      <w:r>
        <w:rPr>
          <w:rFonts w:hint="eastAsia" w:ascii="仿宋" w:hAnsi="仿宋" w:eastAsia="仿宋"/>
          <w:sz w:val="32"/>
          <w:szCs w:val="32"/>
          <w:lang w:val="en-US" w:eastAsia="zh-CN"/>
        </w:rPr>
        <w:t>4</w:t>
      </w:r>
      <w:r>
        <w:rPr>
          <w:rFonts w:hint="eastAsia" w:ascii="仿宋" w:hAnsi="仿宋" w:eastAsia="仿宋"/>
          <w:sz w:val="32"/>
          <w:szCs w:val="32"/>
        </w:rPr>
        <w:t>万元，支出决算为4.</w:t>
      </w:r>
      <w:r>
        <w:rPr>
          <w:rFonts w:hint="eastAsia" w:ascii="仿宋" w:hAnsi="仿宋" w:eastAsia="仿宋"/>
          <w:sz w:val="32"/>
          <w:szCs w:val="32"/>
          <w:lang w:val="en-US" w:eastAsia="zh-CN"/>
        </w:rPr>
        <w:t>64</w:t>
      </w:r>
      <w:r>
        <w:rPr>
          <w:rFonts w:hint="eastAsia" w:ascii="仿宋" w:hAnsi="仿宋" w:eastAsia="仿宋"/>
          <w:sz w:val="32"/>
          <w:szCs w:val="32"/>
        </w:rPr>
        <w:t>万元，完成年初预算的</w:t>
      </w:r>
      <w:r>
        <w:rPr>
          <w:rFonts w:hint="eastAsia" w:ascii="仿宋" w:hAnsi="仿宋" w:eastAsia="仿宋"/>
          <w:sz w:val="32"/>
          <w:szCs w:val="32"/>
          <w:lang w:val="en-US" w:eastAsia="zh-CN"/>
        </w:rPr>
        <w:t>100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w:t>
      </w:r>
      <w:r>
        <w:rPr>
          <w:rFonts w:hint="eastAsia" w:ascii="仿宋" w:hAnsi="仿宋" w:eastAsia="仿宋"/>
          <w:sz w:val="32"/>
          <w:szCs w:val="32"/>
          <w:lang w:eastAsia="zh-CN"/>
        </w:rPr>
        <w:t>持平。</w:t>
      </w:r>
    </w:p>
    <w:p>
      <w:pPr>
        <w:ind w:firstLine="630" w:firstLineChars="196"/>
        <w:rPr>
          <w:rFonts w:ascii="仿宋" w:hAnsi="仿宋" w:eastAsia="仿宋" w:cs="黑体"/>
          <w:b/>
          <w:sz w:val="32"/>
          <w:szCs w:val="32"/>
        </w:rPr>
      </w:pPr>
      <w:r>
        <w:rPr>
          <w:rFonts w:hint="eastAsia" w:ascii="仿宋" w:hAnsi="仿宋" w:eastAsia="仿宋" w:cs="黑体"/>
          <w:b/>
          <w:bCs/>
          <w:sz w:val="32"/>
          <w:szCs w:val="32"/>
        </w:rPr>
        <w:t>六、一般公共预算财政拨款基本支出决算情况说明。</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年度财政拨款基本支出8</w:t>
      </w:r>
      <w:r>
        <w:rPr>
          <w:rFonts w:hint="eastAsia" w:ascii="仿宋" w:hAnsi="仿宋" w:eastAsia="仿宋"/>
          <w:sz w:val="32"/>
          <w:szCs w:val="32"/>
          <w:lang w:val="en-US" w:eastAsia="zh-CN"/>
        </w:rPr>
        <w:t>3.01</w:t>
      </w:r>
      <w:r>
        <w:rPr>
          <w:rFonts w:hint="eastAsia" w:ascii="仿宋" w:hAnsi="仿宋" w:eastAsia="仿宋"/>
          <w:sz w:val="32"/>
          <w:szCs w:val="32"/>
        </w:rPr>
        <w:t>万元，其中：人员经费7</w:t>
      </w:r>
      <w:r>
        <w:rPr>
          <w:rFonts w:hint="eastAsia" w:ascii="仿宋" w:hAnsi="仿宋" w:eastAsia="仿宋"/>
          <w:sz w:val="32"/>
          <w:szCs w:val="32"/>
          <w:lang w:val="en-US" w:eastAsia="zh-CN"/>
        </w:rPr>
        <w:t>0.47</w:t>
      </w:r>
      <w:r>
        <w:rPr>
          <w:rFonts w:hint="eastAsia" w:ascii="仿宋" w:hAnsi="仿宋" w:eastAsia="仿宋"/>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12.</w:t>
      </w:r>
      <w:r>
        <w:rPr>
          <w:rFonts w:hint="eastAsia" w:ascii="仿宋" w:hAnsi="仿宋" w:eastAsia="仿宋"/>
          <w:sz w:val="32"/>
          <w:szCs w:val="32"/>
          <w:lang w:val="en-US" w:eastAsia="zh-CN"/>
        </w:rPr>
        <w:t>54</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年度政府性基金预算财政拨款支出数持平。本年没有发生与该表相关的收支决算数据</w:t>
      </w:r>
      <w:r>
        <w:rPr>
          <w:rFonts w:hint="eastAsia" w:ascii="仿宋" w:hAnsi="仿宋" w:eastAsia="仿宋"/>
          <w:sz w:val="32"/>
          <w:szCs w:val="32"/>
          <w:lang w:eastAsia="zh-CN"/>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年度政府性基金预算财政拨款支出0万元。本年没有发生与该表相关的收支决算数据</w:t>
      </w:r>
      <w:r>
        <w:rPr>
          <w:rFonts w:hint="eastAsia" w:ascii="仿宋" w:hAnsi="仿宋" w:eastAsia="仿宋"/>
          <w:sz w:val="32"/>
          <w:szCs w:val="32"/>
          <w:lang w:eastAsia="zh-CN"/>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spacing w:before="100" w:beforeAutospacing="1" w:after="100" w:afterAutospacing="1"/>
        <w:ind w:firstLine="640" w:firstLineChars="200"/>
        <w:rPr>
          <w:rFonts w:ascii="仿宋_GB2312" w:hAnsi="ˎ̥"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本年没有发生与该表相关的收支决算数据</w:t>
      </w:r>
      <w:r>
        <w:rPr>
          <w:rFonts w:hint="eastAsia" w:ascii="仿宋" w:hAnsi="仿宋" w:eastAsia="仿宋"/>
          <w:sz w:val="32"/>
          <w:szCs w:val="32"/>
          <w:lang w:eastAsia="zh-CN"/>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年度国有资本经营预算财政拨款支出数持平。本年没有发生与该表相关的收支决算数据</w:t>
      </w:r>
      <w:r>
        <w:rPr>
          <w:rFonts w:hint="eastAsia" w:ascii="仿宋" w:hAnsi="仿宋" w:eastAsia="仿宋"/>
          <w:sz w:val="32"/>
          <w:szCs w:val="32"/>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年度国有资本经营预算财政拨款支出0万元。本年没有发生与该表相关的收支决算数据</w:t>
      </w:r>
      <w:r>
        <w:rPr>
          <w:rFonts w:hint="eastAsia" w:ascii="仿宋" w:hAnsi="仿宋" w:eastAsia="仿宋"/>
          <w:sz w:val="32"/>
          <w:szCs w:val="32"/>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年度国有资本经营预算财政拨款支出年初预算为0万元，支出决算为0万元。本年没有发生与该表相关的收支决算数据</w:t>
      </w:r>
      <w:r>
        <w:rPr>
          <w:rFonts w:hint="eastAsia" w:ascii="仿宋" w:hAnsi="仿宋" w:eastAsia="仿宋"/>
          <w:sz w:val="32"/>
          <w:szCs w:val="32"/>
          <w:lang w:eastAsia="zh-CN"/>
        </w:rPr>
        <w:t>。</w:t>
      </w:r>
    </w:p>
    <w:p>
      <w:pPr>
        <w:ind w:firstLine="630" w:firstLineChars="196"/>
        <w:rPr>
          <w:rFonts w:ascii="仿宋" w:hAnsi="仿宋" w:eastAsia="仿宋"/>
          <w:b/>
          <w:sz w:val="32"/>
          <w:szCs w:val="32"/>
        </w:rPr>
      </w:pPr>
      <w:r>
        <w:rPr>
          <w:rFonts w:hint="eastAsia" w:ascii="仿宋" w:hAnsi="仿宋" w:eastAsia="仿宋" w:cs="黑体"/>
          <w:b/>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年度一般公共预算财政拨款“三公”经费支出预算为</w:t>
      </w:r>
      <w:r>
        <w:rPr>
          <w:rFonts w:hint="eastAsia" w:ascii="仿宋" w:hAnsi="仿宋" w:eastAsia="仿宋"/>
          <w:sz w:val="32"/>
          <w:szCs w:val="32"/>
          <w:lang w:val="en-US" w:eastAsia="zh-CN"/>
        </w:rPr>
        <w:t>2.55</w:t>
      </w:r>
      <w:r>
        <w:rPr>
          <w:rFonts w:hint="eastAsia" w:ascii="仿宋" w:hAnsi="仿宋" w:eastAsia="仿宋"/>
          <w:sz w:val="32"/>
          <w:szCs w:val="32"/>
        </w:rPr>
        <w:t>万元，支出决算为0万元，完成预算的0%。</w:t>
      </w:r>
    </w:p>
    <w:p>
      <w:pPr>
        <w:ind w:firstLine="643" w:firstLineChars="200"/>
        <w:rPr>
          <w:rFonts w:hint="eastAsia" w:ascii="黑体" w:hAnsi="黑体" w:eastAsia="黑体" w:cs="黑体"/>
          <w:bCs/>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年度一般公共预算财政拨款“三公”经费支出决算</w:t>
      </w:r>
      <w:r>
        <w:rPr>
          <w:rFonts w:hint="eastAsia" w:ascii="仿宋" w:hAnsi="仿宋" w:eastAsia="仿宋"/>
          <w:sz w:val="32"/>
          <w:szCs w:val="32"/>
        </w:rPr>
        <w:t>中，因公出国（境）费支出决算</w:t>
      </w:r>
      <w:r>
        <w:rPr>
          <w:rFonts w:ascii="仿宋" w:hAnsi="仿宋" w:eastAsia="仿宋"/>
          <w:sz w:val="32"/>
          <w:szCs w:val="32"/>
        </w:rPr>
        <w:t>0</w:t>
      </w:r>
      <w:r>
        <w:rPr>
          <w:rFonts w:hint="eastAsia" w:ascii="仿宋" w:hAnsi="仿宋" w:eastAsia="仿宋"/>
          <w:sz w:val="32"/>
          <w:szCs w:val="32"/>
        </w:rPr>
        <w:t>万元；公务用车购置及运行费支出决算</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；公务接待费支出决算0</w:t>
      </w:r>
      <w:r>
        <w:rPr>
          <w:rFonts w:hint="eastAsia" w:ascii="仿宋" w:hAnsi="仿宋" w:eastAsia="仿宋"/>
          <w:sz w:val="32"/>
          <w:szCs w:val="32"/>
        </w:rPr>
        <w:t>万元。具体情况如下：</w:t>
      </w:r>
    </w:p>
    <w:p>
      <w:pPr>
        <w:numPr>
          <w:ilvl w:val="0"/>
          <w:numId w:val="3"/>
        </w:numPr>
        <w:spacing w:before="100" w:beforeAutospacing="1" w:after="100" w:afterAutospacing="1"/>
        <w:ind w:firstLine="643" w:firstLineChars="200"/>
        <w:rPr>
          <w:rFonts w:hint="eastAsia" w:ascii="仿宋" w:hAnsi="仿宋" w:eastAsia="仿宋"/>
          <w:sz w:val="32"/>
          <w:szCs w:val="32"/>
        </w:rPr>
      </w:pPr>
      <w:r>
        <w:rPr>
          <w:rFonts w:hint="eastAsia" w:ascii="仿宋" w:hAnsi="仿宋" w:eastAsia="仿宋"/>
          <w:b/>
          <w:sz w:val="32"/>
          <w:szCs w:val="32"/>
        </w:rPr>
        <w:t>因公出国（境）费支出0万元</w:t>
      </w:r>
      <w:r>
        <w:rPr>
          <w:rFonts w:hint="eastAsia" w:ascii="仿宋" w:hAnsi="仿宋" w:eastAsia="仿宋"/>
          <w:sz w:val="32"/>
          <w:szCs w:val="32"/>
        </w:rPr>
        <w:t>。全年安排因公出国（境）团组0个，因公出国（境）0人次。</w:t>
      </w:r>
    </w:p>
    <w:p>
      <w:pPr>
        <w:numPr>
          <w:ilvl w:val="0"/>
          <w:numId w:val="0"/>
        </w:numPr>
        <w:spacing w:before="100" w:beforeAutospacing="1" w:after="100" w:afterAutospacing="1"/>
        <w:ind w:firstLine="960" w:firstLineChars="300"/>
        <w:rPr>
          <w:rFonts w:hint="eastAsia" w:ascii="仿宋" w:hAnsi="仿宋" w:eastAsia="仿宋"/>
          <w:sz w:val="32"/>
          <w:szCs w:val="32"/>
        </w:rPr>
      </w:pPr>
      <w:r>
        <w:rPr>
          <w:rFonts w:hint="eastAsia" w:ascii="仿宋" w:hAnsi="仿宋" w:eastAsia="仿宋"/>
          <w:sz w:val="32"/>
          <w:szCs w:val="32"/>
        </w:rPr>
        <w:t>因公出国（境）费支出决算数与预算数持平。</w:t>
      </w:r>
    </w:p>
    <w:p>
      <w:pPr>
        <w:spacing w:before="100" w:beforeAutospacing="1" w:after="100" w:afterAutospacing="1"/>
        <w:outlineLvl w:val="2"/>
        <w:rPr>
          <w:rFonts w:ascii="仿宋" w:hAnsi="仿宋" w:eastAsia="仿宋"/>
          <w:sz w:val="32"/>
          <w:szCs w:val="32"/>
        </w:rPr>
      </w:pPr>
      <w:r>
        <w:rPr>
          <w:rFonts w:hint="eastAsia" w:ascii="仿宋" w:hAnsi="仿宋" w:eastAsia="仿宋"/>
          <w:b/>
          <w:sz w:val="32"/>
          <w:szCs w:val="32"/>
        </w:rPr>
        <w:t xml:space="preserve">    2.公务用车购置及运行费支出</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公务用车购置支出0万元</w:t>
      </w:r>
      <w:r>
        <w:rPr>
          <w:rFonts w:hint="eastAsia" w:ascii="仿宋" w:hAnsi="仿宋" w:eastAsia="仿宋"/>
          <w:sz w:val="32"/>
          <w:szCs w:val="32"/>
        </w:rPr>
        <w:t>，全年购置公务用车0辆，年末公务用车保有量</w:t>
      </w:r>
      <w:r>
        <w:rPr>
          <w:rFonts w:hint="eastAsia" w:ascii="仿宋" w:hAnsi="仿宋" w:eastAsia="仿宋"/>
          <w:sz w:val="32"/>
          <w:szCs w:val="32"/>
          <w:lang w:val="en-US" w:eastAsia="zh-CN"/>
        </w:rPr>
        <w:t>0</w:t>
      </w:r>
      <w:r>
        <w:rPr>
          <w:rFonts w:hint="eastAsia" w:ascii="仿宋" w:hAnsi="仿宋" w:eastAsia="仿宋"/>
          <w:sz w:val="32"/>
          <w:szCs w:val="32"/>
        </w:rPr>
        <w:t>辆。</w:t>
      </w:r>
    </w:p>
    <w:p>
      <w:pPr>
        <w:spacing w:before="100" w:beforeAutospacing="1" w:after="100" w:afterAutospacing="1"/>
        <w:ind w:firstLine="643" w:firstLineChars="200"/>
        <w:rPr>
          <w:rFonts w:hint="eastAsia" w:ascii="仿宋" w:hAnsi="仿宋" w:eastAsia="仿宋"/>
          <w:bCs/>
          <w:sz w:val="32"/>
          <w:szCs w:val="32"/>
          <w:lang w:eastAsia="zh-CN"/>
        </w:rPr>
      </w:pPr>
      <w:r>
        <w:rPr>
          <w:rFonts w:hint="eastAsia" w:ascii="仿宋" w:hAnsi="仿宋" w:eastAsia="仿宋"/>
          <w:b/>
          <w:sz w:val="32"/>
          <w:szCs w:val="32"/>
        </w:rPr>
        <w:t>公务用车运行维护费支出</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b/>
          <w:sz w:val="32"/>
          <w:szCs w:val="32"/>
          <w:lang w:eastAsia="zh-CN"/>
        </w:rPr>
        <w:t>。</w:t>
      </w:r>
    </w:p>
    <w:p>
      <w:pPr>
        <w:spacing w:before="100" w:beforeAutospacing="1" w:after="100" w:afterAutospacing="1"/>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w:t>
      </w:r>
      <w:r>
        <w:rPr>
          <w:rFonts w:hint="eastAsia" w:ascii="仿宋" w:hAnsi="仿宋" w:eastAsia="仿宋"/>
          <w:sz w:val="32"/>
          <w:szCs w:val="32"/>
          <w:lang w:val="en-US" w:eastAsia="zh-CN"/>
        </w:rPr>
        <w:t>2.55</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主要原因是我所公务用车已报废，没有</w:t>
      </w:r>
      <w:bookmarkStart w:id="118" w:name="_GoBack"/>
      <w:bookmarkEnd w:id="118"/>
      <w:r>
        <w:rPr>
          <w:rFonts w:hint="eastAsia" w:ascii="仿宋" w:hAnsi="仿宋" w:eastAsia="仿宋"/>
          <w:sz w:val="32"/>
          <w:szCs w:val="32"/>
          <w:lang w:val="en-US" w:eastAsia="zh-CN"/>
        </w:rPr>
        <w:t>公务用车运行维护费支出</w:t>
      </w:r>
      <w:r>
        <w:rPr>
          <w:rFonts w:hint="eastAsia" w:ascii="仿宋" w:hAnsi="仿宋" w:eastAsia="仿宋"/>
          <w:sz w:val="32"/>
          <w:szCs w:val="32"/>
        </w:rPr>
        <w:t>。</w:t>
      </w:r>
    </w:p>
    <w:p>
      <w:pPr>
        <w:spacing w:before="100" w:beforeAutospacing="1" w:after="100" w:afterAutospacing="1"/>
        <w:outlineLvl w:val="2"/>
        <w:rPr>
          <w:rFonts w:ascii="仿宋" w:hAnsi="仿宋" w:eastAsia="仿宋"/>
          <w:sz w:val="32"/>
          <w:szCs w:val="32"/>
        </w:rPr>
      </w:pPr>
      <w:r>
        <w:rPr>
          <w:rFonts w:hint="eastAsia" w:ascii="仿宋_GB2312" w:hAnsi="ˎ̥" w:eastAsia="仿宋_GB2312"/>
          <w:b/>
          <w:sz w:val="32"/>
          <w:szCs w:val="32"/>
        </w:rPr>
        <w:t xml:space="preserve">   </w:t>
      </w:r>
      <w:r>
        <w:rPr>
          <w:rFonts w:hint="eastAsia" w:ascii="仿宋" w:hAnsi="仿宋" w:eastAsia="仿宋"/>
          <w:b/>
          <w:sz w:val="32"/>
          <w:szCs w:val="32"/>
        </w:rPr>
        <w:t xml:space="preserve"> 3.公务接待费支出</w:t>
      </w:r>
      <w:r>
        <w:rPr>
          <w:rFonts w:hint="eastAsia" w:ascii="仿宋" w:hAnsi="仿宋" w:eastAsia="仿宋"/>
          <w:b/>
          <w:bCs/>
          <w:sz w:val="32"/>
          <w:szCs w:val="32"/>
        </w:rPr>
        <w:t>0万元，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国内接待费支出0万元</w:t>
      </w:r>
      <w:r>
        <w:rPr>
          <w:rFonts w:hint="eastAsia" w:ascii="仿宋" w:hAnsi="仿宋" w:eastAsia="仿宋"/>
          <w:sz w:val="32"/>
          <w:szCs w:val="32"/>
        </w:rPr>
        <w:t>，国内公务接待0批次，接待0人次。</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国（境）外接待费支出0万元</w:t>
      </w:r>
      <w:r>
        <w:rPr>
          <w:rFonts w:hint="eastAsia" w:ascii="仿宋" w:hAnsi="仿宋" w:eastAsia="仿宋"/>
          <w:sz w:val="32"/>
          <w:szCs w:val="32"/>
        </w:rPr>
        <w:t>，国（境）外公务接待0批次，接待0人次。</w:t>
      </w:r>
    </w:p>
    <w:p>
      <w:pPr>
        <w:ind w:firstLine="627" w:firstLineChars="196"/>
        <w:rPr>
          <w:rFonts w:hint="eastAsia" w:ascii="仿宋" w:hAnsi="仿宋" w:eastAsia="仿宋"/>
          <w:sz w:val="32"/>
          <w:szCs w:val="32"/>
        </w:rPr>
      </w:pPr>
      <w:r>
        <w:rPr>
          <w:rFonts w:hint="eastAsia" w:ascii="仿宋" w:hAnsi="仿宋" w:eastAsia="仿宋"/>
          <w:sz w:val="32"/>
          <w:szCs w:val="32"/>
        </w:rPr>
        <w:t>公务接待费支出决算数与预算数持平。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三公”经费支出合计0.00万元。其中：因公出国（境）费支出决算0.00万元，占0%；公务用车购置及运行费支出决算0.00万元，占0%；公务接待费支出决算0.00万元，占0%。本年没有发生与该表相关的收支决算数据</w:t>
      </w:r>
      <w:r>
        <w:rPr>
          <w:rFonts w:hint="eastAsia" w:ascii="仿宋" w:hAnsi="仿宋" w:eastAsia="仿宋"/>
          <w:sz w:val="32"/>
          <w:szCs w:val="32"/>
          <w:lang w:eastAsia="zh-CN"/>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r>
        <w:rPr>
          <w:rFonts w:hint="eastAsia" w:ascii="仿宋" w:hAnsi="仿宋" w:eastAsia="仿宋"/>
          <w:sz w:val="32"/>
          <w:szCs w:val="32"/>
          <w:lang w:eastAsia="zh-CN"/>
        </w:rPr>
        <w:t>。</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根据财政预算绩效管理要求，我单位组织对202</w:t>
      </w:r>
      <w:r>
        <w:rPr>
          <w:rFonts w:hint="eastAsia" w:ascii="仿宋" w:hAnsi="仿宋" w:eastAsia="仿宋"/>
          <w:sz w:val="32"/>
          <w:szCs w:val="32"/>
          <w:lang w:val="en-US" w:eastAsia="zh-CN"/>
        </w:rPr>
        <w:t>1</w:t>
      </w:r>
      <w:r>
        <w:rPr>
          <w:rFonts w:hint="eastAsia" w:ascii="仿宋" w:hAnsi="仿宋" w:eastAsia="仿宋"/>
          <w:sz w:val="32"/>
          <w:szCs w:val="32"/>
        </w:rPr>
        <w:t>年度一般公共预算项目支出全面开展绩效自评。</w:t>
      </w:r>
      <w:r>
        <w:rPr>
          <w:rFonts w:hint="eastAsia" w:ascii="仿宋" w:hAnsi="仿宋" w:eastAsia="仿宋"/>
          <w:sz w:val="32"/>
          <w:szCs w:val="32"/>
          <w:lang w:eastAsia="zh-CN"/>
        </w:rPr>
        <w:t>我单位无</w:t>
      </w:r>
      <w:r>
        <w:rPr>
          <w:rFonts w:hint="eastAsia" w:ascii="仿宋" w:hAnsi="仿宋" w:eastAsia="仿宋"/>
          <w:sz w:val="32"/>
          <w:szCs w:val="32"/>
          <w:lang w:val="en-US" w:eastAsia="zh-CN"/>
        </w:rPr>
        <w:t>1000万元以上的重点项目，本次</w:t>
      </w:r>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项目，涉及资金1</w:t>
      </w:r>
      <w:r>
        <w:rPr>
          <w:rFonts w:hint="eastAsia" w:ascii="仿宋" w:hAnsi="仿宋" w:eastAsia="仿宋"/>
          <w:sz w:val="32"/>
          <w:szCs w:val="32"/>
          <w:lang w:val="en-US" w:eastAsia="zh-CN"/>
        </w:rPr>
        <w:t>81.87</w:t>
      </w:r>
      <w:r>
        <w:rPr>
          <w:rFonts w:hint="eastAsia" w:ascii="仿宋" w:hAnsi="仿宋" w:eastAsia="仿宋"/>
          <w:sz w:val="32"/>
          <w:szCs w:val="32"/>
        </w:rPr>
        <w:t>万元，自评覆盖率达到100%。</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从评价情况来看，完成了对项目概况，项目绩效总目标、绩效指标情况，项目基本性质、用途和主要内容涉及的范围，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项目资金使用及管理情况以及项目组织实施情况的自评工作。项目的预算执行率高达</w:t>
      </w:r>
      <w:r>
        <w:rPr>
          <w:rFonts w:hint="eastAsia" w:ascii="仿宋" w:hAnsi="仿宋" w:eastAsia="仿宋" w:cs="宋体"/>
          <w:sz w:val="32"/>
          <w:szCs w:val="32"/>
          <w:lang w:val="en-US" w:eastAsia="zh-CN"/>
        </w:rPr>
        <w:t>100</w:t>
      </w:r>
      <w:r>
        <w:rPr>
          <w:rFonts w:hint="eastAsia" w:ascii="仿宋" w:hAnsi="仿宋" w:eastAsia="仿宋" w:cs="宋体"/>
          <w:sz w:val="32"/>
          <w:szCs w:val="32"/>
        </w:rPr>
        <w:t>%，资金支出控制在预算范围里；项目的投入、过程、产出及效果都达到项目绩效总目标。</w:t>
      </w:r>
    </w:p>
    <w:p>
      <w:pPr>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w:t>
      </w:r>
      <w:r>
        <w:rPr>
          <w:rFonts w:hint="eastAsia" w:ascii="仿宋" w:hAnsi="仿宋" w:eastAsia="仿宋"/>
          <w:sz w:val="32"/>
          <w:szCs w:val="32"/>
          <w:lang w:val="en-US" w:eastAsia="zh-CN"/>
        </w:rPr>
        <w:t>1</w:t>
      </w:r>
      <w:r>
        <w:rPr>
          <w:rFonts w:hint="eastAsia" w:ascii="仿宋" w:hAnsi="仿宋" w:eastAsia="仿宋"/>
          <w:sz w:val="32"/>
          <w:szCs w:val="32"/>
        </w:rPr>
        <w:t>年度一般公共预算整体支出全面开展绩效自评，涉及资金2</w:t>
      </w:r>
      <w:r>
        <w:rPr>
          <w:rFonts w:hint="eastAsia" w:ascii="仿宋" w:hAnsi="仿宋" w:eastAsia="仿宋"/>
          <w:sz w:val="32"/>
          <w:szCs w:val="32"/>
          <w:lang w:val="en-US" w:eastAsia="zh-CN"/>
        </w:rPr>
        <w:t>64.88</w:t>
      </w:r>
      <w:r>
        <w:rPr>
          <w:rFonts w:hint="eastAsia" w:ascii="仿宋" w:hAnsi="仿宋" w:eastAsia="仿宋"/>
          <w:sz w:val="32"/>
          <w:szCs w:val="32"/>
        </w:rPr>
        <w:t>万元。从评价情况来看，我所在规定时间里对单位基本情况、项目和政策完成情况、财政预算资金使用情况、资金的管理情况、预算执行情况以及项目的投入、产出效果的情况等都做了全面分析和综合评价工作，整体工作达到预期总目标；整体预算执行率9</w:t>
      </w:r>
      <w:r>
        <w:rPr>
          <w:rFonts w:hint="eastAsia" w:ascii="仿宋" w:hAnsi="仿宋" w:eastAsia="仿宋"/>
          <w:sz w:val="32"/>
          <w:szCs w:val="32"/>
          <w:lang w:val="en-US" w:eastAsia="zh-CN"/>
        </w:rPr>
        <w:t>9.89</w:t>
      </w:r>
      <w:r>
        <w:rPr>
          <w:rFonts w:hint="eastAsia" w:ascii="仿宋" w:hAnsi="仿宋" w:eastAsia="仿宋"/>
          <w:sz w:val="32"/>
          <w:szCs w:val="32"/>
        </w:rPr>
        <w:t>%，资金的使用控制在预算范围里。对评价过程中发现的一些问题，提出建议和整改措施，为以后切实提高财政资金使用效益，强化预算支出的责任和效率，顺利开展和完成各项工作提供依据。</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项目绩效自评综述：根据年初设定的绩效目标，项目自评得分为98分。全年预算数为</w:t>
      </w:r>
      <w:r>
        <w:rPr>
          <w:rFonts w:hint="eastAsia" w:ascii="仿宋" w:hAnsi="仿宋" w:eastAsia="仿宋"/>
          <w:sz w:val="32"/>
          <w:szCs w:val="32"/>
          <w:lang w:val="en-US" w:eastAsia="zh-CN"/>
        </w:rPr>
        <w:t>181.87</w:t>
      </w:r>
      <w:r>
        <w:rPr>
          <w:rFonts w:hint="eastAsia" w:ascii="仿宋" w:hAnsi="仿宋" w:eastAsia="仿宋"/>
          <w:sz w:val="32"/>
          <w:szCs w:val="32"/>
        </w:rPr>
        <w:t>万元，执行数为1</w:t>
      </w:r>
      <w:r>
        <w:rPr>
          <w:rFonts w:hint="eastAsia" w:ascii="仿宋" w:hAnsi="仿宋" w:eastAsia="仿宋"/>
          <w:sz w:val="32"/>
          <w:szCs w:val="32"/>
          <w:lang w:val="en-US" w:eastAsia="zh-CN"/>
        </w:rPr>
        <w:t>81.87</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1、</w:t>
      </w:r>
      <w:r>
        <w:rPr>
          <w:rFonts w:hint="eastAsia" w:ascii="仿宋" w:hAnsi="仿宋" w:eastAsia="仿宋"/>
          <w:sz w:val="32"/>
          <w:szCs w:val="32"/>
        </w:rPr>
        <w:t>保护内河航道5条76.8公里，沿海航道2条3.6公里，巡查次数123次；航道保护率100%；2、航道测量12公里,航道畅通率100%；3、38座航标维护符合航标管理办法和内河航道维护技术规范所要求的技术标准和质量标准，符合达标率98%；4、新设置的船型标、桥涵标及海上浮标符合设计要求；5、航标维护正常率达100%，发光率100%；确保航道畅通和船舶进出港口安全。</w:t>
      </w:r>
    </w:p>
    <w:p>
      <w:pPr>
        <w:spacing w:line="560" w:lineRule="exact"/>
        <w:ind w:firstLine="470" w:firstLineChars="147"/>
        <w:rPr>
          <w:rFonts w:ascii="仿宋" w:hAnsi="仿宋" w:eastAsia="仿宋" w:cs="宋体"/>
          <w:sz w:val="32"/>
          <w:szCs w:val="32"/>
        </w:rPr>
      </w:pPr>
      <w:r>
        <w:rPr>
          <w:rFonts w:hint="eastAsia" w:ascii="仿宋" w:hAnsi="仿宋" w:eastAsia="仿宋" w:cs="宋体"/>
          <w:sz w:val="32"/>
          <w:szCs w:val="32"/>
        </w:rPr>
        <w:t>存在问题：目前我所编制不足，航道维护专业技术人才缺乏；航道巡查执法装备严重不足,航道养护、开发建设资金投入不足，航道维护水平处在比较低的水平。</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建议：（1） 加强业务培训及参观考察加强业务骨干学习，确保职工在设施维护与改造中发挥作用。应及时派遣人员到兄弟单位学习航道航标维护改造和管理的先进工作经验。(2) 增加设施维护与改造资金投入，多年来，我省设施维护与改造资金虽然有所增长，但仍无法满足实际工作中航道航标维护改造的需要，大部分基础设施维护与改造不及时，执法装备配备不足,航道养护还处在相当低的水平。</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lang w:eastAsia="zh-CN"/>
        </w:rPr>
        <w:t>我单位无此项内容。我</w:t>
      </w:r>
      <w:r>
        <w:rPr>
          <w:rFonts w:hint="eastAsia" w:ascii="仿宋" w:hAnsi="仿宋" w:eastAsia="仿宋"/>
          <w:color w:val="000000"/>
          <w:sz w:val="32"/>
          <w:szCs w:val="32"/>
        </w:rPr>
        <w:t>单位</w:t>
      </w:r>
      <w:r>
        <w:rPr>
          <w:rFonts w:hint="eastAsia" w:ascii="仿宋" w:hAnsi="仿宋" w:eastAsia="仿宋"/>
          <w:color w:val="000000"/>
          <w:sz w:val="32"/>
          <w:szCs w:val="32"/>
          <w:lang w:eastAsia="zh-CN"/>
        </w:rPr>
        <w:t>是三级单位，不开展部门绩效评价</w:t>
      </w:r>
      <w:r>
        <w:rPr>
          <w:rFonts w:hint="eastAsia" w:ascii="仿宋" w:hAnsi="仿宋" w:eastAsia="仿宋"/>
          <w:color w:val="000000"/>
          <w:sz w:val="32"/>
          <w:szCs w:val="32"/>
        </w:rPr>
        <w:t>。</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十三、其他重要事项情况说明。</w:t>
      </w:r>
    </w:p>
    <w:p>
      <w:pPr>
        <w:ind w:firstLine="630" w:firstLineChars="196"/>
        <w:rPr>
          <w:rFonts w:ascii="楷体" w:hAnsi="楷体" w:eastAsia="楷体" w:cs="楷体"/>
          <w:b/>
          <w:sz w:val="32"/>
          <w:szCs w:val="32"/>
        </w:rPr>
      </w:pPr>
      <w:bookmarkStart w:id="94" w:name="_Toc23598_WPSOffice_Level2"/>
      <w:bookmarkStart w:id="95" w:name="_Toc18325_WPSOffice_Level2"/>
      <w:bookmarkStart w:id="96" w:name="_Toc15565_WPSOffice_Level2"/>
      <w:bookmarkStart w:id="97" w:name="_Toc15262_WPSOffice_Level2"/>
      <w:bookmarkStart w:id="98" w:name="_Toc5978_WPSOffice_Level2"/>
      <w:bookmarkStart w:id="99" w:name="_Toc32639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left="643"/>
        <w:rPr>
          <w:rFonts w:ascii="仿宋" w:hAnsi="仿宋" w:eastAsia="仿宋" w:cs="楷体"/>
          <w:sz w:val="32"/>
          <w:szCs w:val="32"/>
        </w:rPr>
      </w:pPr>
      <w:r>
        <w:rPr>
          <w:rFonts w:hint="eastAsia" w:ascii="仿宋" w:hAnsi="仿宋" w:eastAsia="仿宋" w:cs="楷体"/>
          <w:sz w:val="32"/>
          <w:szCs w:val="32"/>
        </w:rPr>
        <w:t>无</w:t>
      </w:r>
    </w:p>
    <w:p>
      <w:pPr>
        <w:ind w:firstLine="630" w:firstLineChars="196"/>
        <w:rPr>
          <w:rFonts w:ascii="楷体" w:hAnsi="楷体" w:eastAsia="楷体" w:cs="楷体"/>
          <w:b/>
          <w:sz w:val="32"/>
          <w:szCs w:val="32"/>
        </w:rPr>
      </w:pPr>
      <w:bookmarkStart w:id="100" w:name="_Toc30383_WPSOffice_Level2"/>
      <w:bookmarkStart w:id="101" w:name="_Toc13084_WPSOffice_Level2"/>
      <w:bookmarkStart w:id="102" w:name="_Toc3131_WPSOffice_Level2"/>
      <w:bookmarkStart w:id="103" w:name="_Toc25333_WPSOffice_Level2"/>
      <w:bookmarkStart w:id="104" w:name="_Toc32689_WPSOffice_Level2"/>
      <w:bookmarkStart w:id="105" w:name="_Toc23966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年度我单位政府采购支出总额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0</w:t>
      </w:r>
      <w:r>
        <w:rPr>
          <w:rFonts w:hint="eastAsia" w:ascii="仿宋" w:hAnsi="仿宋" w:eastAsia="仿宋"/>
          <w:sz w:val="32"/>
          <w:szCs w:val="32"/>
        </w:rPr>
        <w:t>万元、政府采购工程支出0万元、政府采购服务支出0万元。授予中小企业合同金额0万元.</w:t>
      </w:r>
      <w:r>
        <w:rPr>
          <w:rFonts w:hint="eastAsia" w:ascii="仿宋" w:hAnsi="仿宋" w:eastAsia="仿宋" w:cs="楷体"/>
          <w:b/>
          <w:sz w:val="32"/>
          <w:szCs w:val="32"/>
        </w:rPr>
        <w:t xml:space="preserve"> 。</w:t>
      </w:r>
      <w:r>
        <w:rPr>
          <w:rFonts w:hint="eastAsia" w:ascii="仿宋" w:hAnsi="仿宋" w:eastAsia="仿宋"/>
          <w:sz w:val="32"/>
          <w:szCs w:val="32"/>
        </w:rPr>
        <w:t xml:space="preserve"> </w:t>
      </w:r>
    </w:p>
    <w:p>
      <w:pPr>
        <w:ind w:firstLine="630" w:firstLineChars="196"/>
        <w:rPr>
          <w:rFonts w:ascii="楷体" w:hAnsi="楷体" w:eastAsia="楷体" w:cs="楷体"/>
          <w:b/>
          <w:sz w:val="32"/>
          <w:szCs w:val="32"/>
        </w:rPr>
      </w:pPr>
      <w:bookmarkStart w:id="106" w:name="_Toc19989_WPSOffice_Level2"/>
      <w:bookmarkStart w:id="107" w:name="_Toc10902_WPSOffice_Level2"/>
      <w:bookmarkStart w:id="108" w:name="_Toc29584_WPSOffice_Level2"/>
      <w:bookmarkStart w:id="109" w:name="_Toc15129_WPSOffice_Level2"/>
      <w:bookmarkStart w:id="110" w:name="_Toc6016_WPSOffice_Level2"/>
      <w:bookmarkStart w:id="111" w:name="_Toc527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年12月31日，本单位占用房屋面积0平方米，其中：办公用房0平方米，业务用房0平方米，其他（不含构筑物）0平方米。</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共有车辆0辆，其中：从车辆种类说明：轿车0辆、越野车0辆、小型载客汽车0辆、大中型载客汽车0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年末在建工程0万元。</w:t>
      </w:r>
    </w:p>
    <w:p>
      <w:pPr>
        <w:spacing w:line="578" w:lineRule="exact"/>
        <w:ind w:firstLine="640" w:firstLineChars="200"/>
        <w:rPr>
          <w:rFonts w:ascii="仿宋" w:hAnsi="仿宋" w:eastAsia="仿宋"/>
          <w:sz w:val="32"/>
          <w:szCs w:val="32"/>
        </w:rPr>
      </w:pPr>
    </w:p>
    <w:p>
      <w:pPr>
        <w:jc w:val="center"/>
        <w:rPr>
          <w:rFonts w:hint="eastAsia" w:ascii="仿宋" w:hAnsi="仿宋" w:eastAsia="仿宋"/>
          <w:sz w:val="32"/>
          <w:szCs w:val="32"/>
        </w:rPr>
      </w:pPr>
      <w:bookmarkStart w:id="112" w:name="_Toc4398_WPSOffice_Level1"/>
      <w:bookmarkStart w:id="113" w:name="_Toc11039_WPSOffice_Level1"/>
      <w:bookmarkStart w:id="114" w:name="_Toc8808_WPSOffice_Level1"/>
      <w:bookmarkStart w:id="115" w:name="_Toc8874_WPSOffice_Level1"/>
      <w:bookmarkStart w:id="116" w:name="_Toc17580_WPSOffice_Level1"/>
      <w:bookmarkStart w:id="117" w:name="_Toc15425_WPSOffice_Level1"/>
      <w:r>
        <w:rPr>
          <w:rFonts w:hint="eastAsia" w:ascii="黑体" w:hAnsi="黑体" w:eastAsia="黑体"/>
          <w:b/>
          <w:sz w:val="32"/>
          <w:szCs w:val="32"/>
        </w:rPr>
        <w:t>第四部分  名词解释</w:t>
      </w:r>
      <w:bookmarkEnd w:id="112"/>
      <w:bookmarkEnd w:id="113"/>
      <w:bookmarkEnd w:id="114"/>
      <w:bookmarkEnd w:id="115"/>
      <w:bookmarkEnd w:id="116"/>
      <w:bookmarkEnd w:id="117"/>
    </w:p>
    <w:p>
      <w:pPr>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财政拨款收入：指同级政府财政部门当年拨付的各类财政拨款。</w:t>
      </w:r>
    </w:p>
    <w:p>
      <w:pPr>
        <w:ind w:firstLine="640" w:firstLineChars="200"/>
        <w:rPr>
          <w:rFonts w:hint="eastAsia" w:ascii="仿宋" w:hAnsi="仿宋" w:eastAsia="仿宋"/>
          <w:sz w:val="32"/>
          <w:szCs w:val="32"/>
        </w:rPr>
      </w:pPr>
      <w:r>
        <w:rPr>
          <w:rFonts w:hint="eastAsia" w:ascii="仿宋" w:hAnsi="仿宋" w:eastAsia="仿宋"/>
          <w:sz w:val="32"/>
          <w:szCs w:val="32"/>
        </w:rPr>
        <w:t>二、上级补助收入：指事业单位从主管部门和上级单位取得的非财政补助收入。</w:t>
      </w:r>
    </w:p>
    <w:p>
      <w:pPr>
        <w:ind w:firstLine="640" w:firstLineChars="200"/>
        <w:rPr>
          <w:rFonts w:hint="eastAsia" w:ascii="仿宋" w:hAnsi="仿宋" w:eastAsia="仿宋"/>
          <w:sz w:val="32"/>
          <w:szCs w:val="32"/>
        </w:rPr>
      </w:pPr>
      <w:r>
        <w:rPr>
          <w:rFonts w:hint="eastAsia" w:ascii="仿宋" w:hAnsi="仿宋" w:eastAsia="仿宋"/>
          <w:sz w:val="32"/>
          <w:szCs w:val="32"/>
        </w:rPr>
        <w:t>三、事业收入：指事业单位开展专业业务活动及辅助活动取得的收入。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四、经营收入：指事业单位在专业业务活动及其辅助活动之外开展非独立核算经营活动取得的收入。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五、附属单位上缴收入：指事业单位取得附属独立核算单位根据有关规定上缴的收入。</w:t>
      </w:r>
    </w:p>
    <w:p>
      <w:pPr>
        <w:ind w:firstLine="640" w:firstLineChars="200"/>
        <w:rPr>
          <w:rFonts w:hint="eastAsia" w:ascii="仿宋" w:hAnsi="仿宋" w:eastAsia="仿宋"/>
          <w:sz w:val="32"/>
          <w:szCs w:val="32"/>
        </w:rPr>
      </w:pPr>
      <w:r>
        <w:rPr>
          <w:rFonts w:hint="eastAsia" w:ascii="仿宋" w:hAnsi="仿宋" w:eastAsia="仿宋"/>
          <w:sz w:val="32"/>
          <w:szCs w:val="32"/>
        </w:rPr>
        <w:t>六、其他收入：指除上述“财政拨款收入”“事业收入”“上级补助收入”“经营收入”“附属单位上缴收入”等以外的收入。</w:t>
      </w:r>
    </w:p>
    <w:p>
      <w:pPr>
        <w:ind w:firstLine="640" w:firstLineChars="200"/>
        <w:rPr>
          <w:rFonts w:hint="eastAsia" w:ascii="仿宋" w:hAnsi="仿宋" w:eastAsia="仿宋"/>
          <w:sz w:val="32"/>
          <w:szCs w:val="32"/>
        </w:rPr>
      </w:pPr>
      <w:r>
        <w:rPr>
          <w:rFonts w:hint="eastAsia" w:ascii="仿宋" w:hAnsi="仿宋" w:eastAsia="仿宋"/>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hint="eastAsia" w:ascii="仿宋" w:hAnsi="仿宋" w:eastAsia="仿宋"/>
          <w:sz w:val="32"/>
          <w:szCs w:val="32"/>
        </w:rPr>
      </w:pPr>
      <w:r>
        <w:rPr>
          <w:rFonts w:hint="eastAsia" w:ascii="仿宋" w:hAnsi="仿宋" w:eastAsia="仿宋"/>
          <w:sz w:val="32"/>
          <w:szCs w:val="32"/>
        </w:rPr>
        <w:t>八、年初结转和结余：指以前年度尚未完成、结转到本年按有关规定继续使用的资金。</w:t>
      </w:r>
    </w:p>
    <w:p>
      <w:pPr>
        <w:ind w:firstLine="640" w:firstLineChars="200"/>
        <w:rPr>
          <w:rFonts w:hint="eastAsia" w:ascii="仿宋" w:hAnsi="仿宋" w:eastAsia="仿宋"/>
          <w:sz w:val="32"/>
          <w:szCs w:val="32"/>
        </w:rPr>
      </w:pPr>
      <w:r>
        <w:rPr>
          <w:rFonts w:hint="eastAsia" w:ascii="仿宋" w:hAnsi="仿宋" w:eastAsia="仿宋"/>
          <w:sz w:val="32"/>
          <w:szCs w:val="32"/>
        </w:rPr>
        <w:t>九、结余分配：指事业单位按规定提取的专用基金和缴纳的所得税。</w:t>
      </w:r>
    </w:p>
    <w:p>
      <w:pPr>
        <w:ind w:firstLine="640" w:firstLineChars="200"/>
        <w:rPr>
          <w:rFonts w:hint="eastAsia" w:ascii="仿宋" w:hAnsi="仿宋" w:eastAsia="仿宋"/>
          <w:sz w:val="32"/>
          <w:szCs w:val="32"/>
        </w:rPr>
      </w:pPr>
      <w:r>
        <w:rPr>
          <w:rFonts w:hint="eastAsia" w:ascii="仿宋" w:hAnsi="仿宋" w:eastAsia="仿宋"/>
          <w:sz w:val="32"/>
          <w:szCs w:val="32"/>
        </w:rPr>
        <w:t>十、年末结转和结余：指本年度或以前年度预算安排、因客观条件发生变化无法按原计划实施，需要延迟到以后年度按有关规定继续使用的资金。</w:t>
      </w:r>
    </w:p>
    <w:p>
      <w:pPr>
        <w:ind w:firstLine="640" w:firstLineChars="200"/>
        <w:rPr>
          <w:rFonts w:hint="eastAsia" w:ascii="仿宋" w:hAnsi="仿宋" w:eastAsia="仿宋"/>
          <w:sz w:val="32"/>
          <w:szCs w:val="32"/>
        </w:rPr>
      </w:pPr>
      <w:r>
        <w:rPr>
          <w:rFonts w:hint="eastAsia" w:ascii="仿宋" w:hAnsi="仿宋" w:eastAsia="仿宋"/>
          <w:sz w:val="32"/>
          <w:szCs w:val="32"/>
        </w:rPr>
        <w:t>十一、基本支出：指为保障机构正常运转、完成日常工作任务而发生的人员支出和公用支出。</w:t>
      </w:r>
    </w:p>
    <w:p>
      <w:pPr>
        <w:ind w:firstLine="640" w:firstLineChars="200"/>
        <w:rPr>
          <w:rFonts w:hint="eastAsia" w:ascii="仿宋" w:hAnsi="仿宋" w:eastAsia="仿宋"/>
          <w:sz w:val="32"/>
          <w:szCs w:val="32"/>
        </w:rPr>
      </w:pPr>
      <w:r>
        <w:rPr>
          <w:rFonts w:hint="eastAsia" w:ascii="仿宋" w:hAnsi="仿宋" w:eastAsia="仿宋"/>
          <w:sz w:val="32"/>
          <w:szCs w:val="32"/>
        </w:rPr>
        <w:t>十二、项目支出：指在基本支出之外为完成特定行政任务和事业发展目标所发生的支出。</w:t>
      </w:r>
    </w:p>
    <w:p>
      <w:pPr>
        <w:ind w:firstLine="640" w:firstLineChars="200"/>
        <w:rPr>
          <w:rFonts w:hint="eastAsia" w:ascii="仿宋" w:hAnsi="仿宋" w:eastAsia="仿宋"/>
          <w:sz w:val="32"/>
          <w:szCs w:val="32"/>
        </w:rPr>
      </w:pPr>
      <w:r>
        <w:rPr>
          <w:rFonts w:hint="eastAsia" w:ascii="仿宋" w:hAnsi="仿宋" w:eastAsia="仿宋"/>
          <w:sz w:val="32"/>
          <w:szCs w:val="32"/>
        </w:rPr>
        <w:t>十三、经营支出：指事业单位在专业业务活动及其辅助活动之外开展非独立核算经营活动发生的支出。</w:t>
      </w:r>
    </w:p>
    <w:p>
      <w:pPr>
        <w:ind w:firstLine="640" w:firstLineChars="200"/>
        <w:rPr>
          <w:rFonts w:hint="eastAsia" w:ascii="仿宋" w:hAnsi="仿宋" w:eastAsia="仿宋"/>
          <w:sz w:val="32"/>
          <w:szCs w:val="32"/>
        </w:rPr>
      </w:pPr>
      <w:r>
        <w:rPr>
          <w:rFonts w:hint="eastAsia" w:ascii="仿宋" w:hAnsi="仿宋" w:eastAsia="仿宋"/>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0" w:firstLineChars="200"/>
        <w:rPr>
          <w:rFonts w:hint="eastAsia" w:ascii="仿宋" w:hAnsi="仿宋" w:eastAsia="仿宋"/>
          <w:sz w:val="32"/>
          <w:szCs w:val="32"/>
        </w:rPr>
      </w:pPr>
      <w:r>
        <w:rPr>
          <w:rFonts w:hint="eastAsia" w:ascii="仿宋" w:hAnsi="仿宋" w:eastAsia="仿宋"/>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6B59B"/>
    <w:multiLevelType w:val="singleLevel"/>
    <w:tmpl w:val="4CB6B59B"/>
    <w:lvl w:ilvl="0" w:tentative="0">
      <w:start w:val="1"/>
      <w:numFmt w:val="decimal"/>
      <w:lvlText w:val="%1."/>
      <w:lvlJc w:val="left"/>
      <w:pPr>
        <w:tabs>
          <w:tab w:val="left" w:pos="312"/>
        </w:tabs>
      </w:pPr>
    </w:lvl>
  </w:abstractNum>
  <w:abstractNum w:abstractNumId="1">
    <w:nsid w:val="4E1B242A"/>
    <w:multiLevelType w:val="multilevel"/>
    <w:tmpl w:val="4E1B242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JmMWVlNjk4ZGI2M2QyM2M0NDJhOWM5YjBhOWU2MWYifQ=="/>
  </w:docVars>
  <w:rsids>
    <w:rsidRoot w:val="00000000"/>
    <w:rsid w:val="0A0333FA"/>
    <w:rsid w:val="0F865924"/>
    <w:rsid w:val="197D4314"/>
    <w:rsid w:val="1B8D6F62"/>
    <w:rsid w:val="1E7671EF"/>
    <w:rsid w:val="2AD86E28"/>
    <w:rsid w:val="2D7B4196"/>
    <w:rsid w:val="33E35647"/>
    <w:rsid w:val="35692418"/>
    <w:rsid w:val="3B18046C"/>
    <w:rsid w:val="42CC4E18"/>
    <w:rsid w:val="48C144D6"/>
    <w:rsid w:val="495042D1"/>
    <w:rsid w:val="60546C53"/>
    <w:rsid w:val="632472C6"/>
    <w:rsid w:val="679F21BB"/>
    <w:rsid w:val="6FED0F35"/>
    <w:rsid w:val="77D5581E"/>
    <w:rsid w:val="7B4E6D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cs="仿宋_GB2312"/>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WPSOffice手动目录 1"/>
    <w:qFormat/>
    <w:uiPriority w:val="0"/>
    <w:pPr>
      <w:spacing w:line="240" w:lineRule="auto"/>
      <w:ind w:left="0"/>
      <w:jc w:val="left"/>
    </w:pPr>
    <w:rPr>
      <w:rFonts w:ascii="Times New Roman" w:hAnsi="Times New Roman" w:eastAsia="宋体" w:cs="Times New Roman"/>
      <w:kern w:val="0"/>
      <w:sz w:val="20"/>
      <w:szCs w:val="20"/>
      <w:lang w:val="en-US" w:eastAsia="zh-CN" w:bidi="ar-SA"/>
    </w:rPr>
  </w:style>
  <w:style w:type="paragraph" w:customStyle="1" w:styleId="9">
    <w:name w:val="WPSOffice手动目录 2"/>
    <w:qFormat/>
    <w:uiPriority w:val="0"/>
    <w:pPr>
      <w:spacing w:line="240" w:lineRule="auto"/>
      <w:ind w:left="0" w:leftChars="200"/>
      <w:jc w:val="left"/>
    </w:pPr>
    <w:rPr>
      <w:rFonts w:ascii="Times New Roman" w:hAnsi="Times New Roman" w:eastAsia="宋体" w:cs="Times New Roman"/>
      <w:kern w:val="0"/>
      <w:sz w:val="20"/>
      <w:szCs w:val="20"/>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List Paragraph"/>
    <w:basedOn w:val="1"/>
    <w:qFormat/>
    <w:uiPriority w:val="34"/>
    <w:pPr>
      <w:ind w:firstLine="420" w:firstLineChars="200"/>
    </w:pPr>
  </w:style>
  <w:style w:type="character" w:customStyle="1" w:styleId="12">
    <w:name w:val="页脚 Char"/>
    <w:basedOn w:val="6"/>
    <w:link w:val="3"/>
    <w:qFormat/>
    <w:uiPriority w:val="0"/>
    <w:rPr>
      <w:rFonts w:ascii="Times New Roman" w:hAnsi="Times New Roman" w:eastAsia="宋体" w:cs="Times New Roman"/>
      <w:sz w:val="18"/>
      <w:szCs w:val="18"/>
    </w:rPr>
  </w:style>
  <w:style w:type="character" w:customStyle="1" w:styleId="13">
    <w:name w:val="纯文本 Char"/>
    <w:basedOn w:val="6"/>
    <w:link w:val="2"/>
    <w:qFormat/>
    <w:uiPriority w:val="0"/>
    <w:rPr>
      <w:rFonts w:ascii="宋体" w:hAnsi="Courier New" w:eastAsia="宋体" w:cs="仿宋_GB2312"/>
      <w:szCs w:val="21"/>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16</Pages>
  <Words>6233</Words>
  <Characters>6733</Characters>
  <Lines>56</Lines>
  <Paragraphs>15</Paragraphs>
  <TotalTime>4</TotalTime>
  <ScaleCrop>false</ScaleCrop>
  <LinksUpToDate>false</LinksUpToDate>
  <CharactersWithSpaces>6846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2021-08-27T10:05:00Z</dcterms:created>
  <dc:creator>11</dc:creator>
  <cp:lastModifiedBy>微澜</cp:lastModifiedBy>
  <dcterms:modified xsi:type="dcterms:W3CDTF">2022-09-07T03:07:29Z</dcterms:modified>
  <dc:title>海南省三亚航道所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62D147AAD9C9473DA94B46E7B74F033A</vt:lpwstr>
  </property>
</Properties>
</file>