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ˎ̥" w:eastAsia="黑体"/>
          <w:sz w:val="44"/>
          <w:szCs w:val="44"/>
        </w:rPr>
      </w:pPr>
      <w:r>
        <w:rPr>
          <w:rFonts w:hint="eastAsia" w:ascii="黑体" w:hAnsi="ˎ̥" w:eastAsia="黑体"/>
          <w:sz w:val="44"/>
          <w:szCs w:val="44"/>
        </w:rPr>
        <w:t>海南省东方航道所</w:t>
      </w:r>
    </w:p>
    <w:p>
      <w:pPr>
        <w:jc w:val="center"/>
        <w:rPr>
          <w:rFonts w:ascii="黑体" w:hAnsi="ˎ̥" w:eastAsia="黑体"/>
          <w:sz w:val="44"/>
          <w:szCs w:val="44"/>
        </w:rPr>
      </w:pPr>
      <w:r>
        <w:rPr>
          <w:rFonts w:hint="eastAsia" w:ascii="黑体" w:hAnsi="ˎ̥" w:eastAsia="黑体"/>
          <w:sz w:val="44"/>
          <w:szCs w:val="44"/>
        </w:rPr>
        <w:t>2021年度单位决算公开说明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9"/>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海南省东方航道所单位概况</w:t>
      </w:r>
      <w:r>
        <w:rPr>
          <w:sz w:val="32"/>
          <w:szCs w:val="32"/>
        </w:rPr>
        <w:tab/>
      </w:r>
      <w:r>
        <w:rPr>
          <w:rFonts w:hint="eastAsia"/>
          <w:sz w:val="32"/>
          <w:szCs w:val="32"/>
        </w:rPr>
        <w:t>3</w:t>
      </w:r>
      <w:r>
        <w:rPr>
          <w:rFonts w:hint="eastAsia"/>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一、单位职责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海南省东方航道所2021年度单位决算公开表</w:t>
      </w:r>
      <w:r>
        <w:rPr>
          <w:sz w:val="32"/>
          <w:szCs w:val="32"/>
        </w:rPr>
        <w:tab/>
      </w:r>
      <w:r>
        <w:rPr>
          <w:rFonts w:hint="eastAsia"/>
          <w:sz w:val="32"/>
          <w:szCs w:val="32"/>
        </w:rPr>
        <w:t>3</w:t>
      </w:r>
      <w:r>
        <w:rPr>
          <w:rFonts w:hint="eastAsia"/>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10"/>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rPr>
          <w:rFonts w:ascii="黑体" w:hAnsi="黑体" w:eastAsia="黑体"/>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ascii="黑体" w:hAnsi="黑体" w:eastAsia="黑体"/>
          <w:sz w:val="32"/>
          <w:szCs w:val="32"/>
        </w:rPr>
        <w:t xml:space="preserve"> 海南省东方航道所2021年度单位决算情况说明</w:t>
      </w:r>
      <w:r>
        <w:rPr>
          <w:rFonts w:ascii="黑体" w:hAnsi="黑体" w:eastAsia="黑体"/>
          <w:sz w:val="32"/>
          <w:szCs w:val="32"/>
        </w:rPr>
        <w:tab/>
      </w:r>
      <w:r>
        <w:rPr>
          <w:rFonts w:hint="eastAsia" w:ascii="黑体" w:hAnsi="黑体" w:eastAsia="黑体"/>
          <w:sz w:val="32"/>
          <w:szCs w:val="32"/>
        </w:rPr>
        <w:t>4</w:t>
      </w:r>
      <w:r>
        <w:rPr>
          <w:rFonts w:hint="eastAsia" w:ascii="黑体" w:hAnsi="黑体" w:eastAsia="黑体"/>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0"/>
        <w:numPr>
          <w:ilvl w:val="0"/>
          <w:numId w:val="0"/>
        </w:numPr>
        <w:tabs>
          <w:tab w:val="right" w:leader="dot" w:pos="8306"/>
        </w:tabs>
        <w:rPr>
          <w:rFonts w:ascii="仿宋" w:hAnsi="仿宋" w:eastAsia="仿宋" w:cs="仿宋"/>
          <w:sz w:val="32"/>
          <w:szCs w:val="32"/>
        </w:rPr>
      </w:pPr>
      <w:r>
        <w:rPr>
          <w:rFonts w:hint="eastAsia" w:ascii="仿宋" w:hAnsi="仿宋" w:eastAsia="仿宋" w:cs="仿宋"/>
          <w:bCs/>
          <w:sz w:val="32"/>
          <w:szCs w:val="32"/>
          <w:lang w:val="en-US" w:eastAsia="zh-CN"/>
        </w:rPr>
        <w:t>七、</w:t>
      </w: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0"/>
        <w:numPr>
          <w:ilvl w:val="0"/>
          <w:numId w:val="0"/>
        </w:numPr>
        <w:tabs>
          <w:tab w:val="right" w:leader="dot" w:pos="8306"/>
        </w:tabs>
        <w:rPr>
          <w:rFonts w:ascii="仿宋" w:hAnsi="仿宋" w:eastAsia="仿宋" w:cs="仿宋"/>
          <w:sz w:val="32"/>
          <w:szCs w:val="32"/>
        </w:rPr>
      </w:pPr>
      <w:r>
        <w:rPr>
          <w:rFonts w:hint="eastAsia" w:ascii="仿宋" w:hAnsi="仿宋" w:eastAsia="仿宋" w:cs="仿宋"/>
          <w:bCs/>
          <w:sz w:val="32"/>
          <w:szCs w:val="32"/>
          <w:lang w:val="en-US" w:eastAsia="zh-CN"/>
        </w:rPr>
        <w:t>八、</w:t>
      </w: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10"/>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10"/>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10"/>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pStyle w:val="10"/>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9</w:t>
      </w:r>
    </w:p>
    <w:p>
      <w:pPr>
        <w:pStyle w:val="10"/>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9"/>
        <w:tabs>
          <w:tab w:val="right" w:leader="dot" w:pos="8306"/>
        </w:tabs>
        <w:rPr>
          <w:rFonts w:ascii="黑体" w:hAnsi="黑体" w:eastAsia="黑体"/>
          <w:sz w:val="32"/>
          <w:szCs w:val="32"/>
        </w:rPr>
      </w:pPr>
      <w:r>
        <w:fldChar w:fldCharType="begin"/>
      </w:r>
      <w:r>
        <w:instrText xml:space="preserve"> HYPERLINK \l "_Toc15425_WPSOffice_Level1" </w:instrText>
      </w:r>
      <w:r>
        <w:fldChar w:fldCharType="separate"/>
      </w:r>
      <w:r>
        <w:rPr>
          <w:rFonts w:hint="eastAsia" w:ascii="黑体" w:hAnsi="黑体" w:eastAsia="黑体"/>
          <w:sz w:val="32"/>
          <w:szCs w:val="32"/>
        </w:rPr>
        <w:t>第四部分  名词解释</w:t>
      </w:r>
      <w:r>
        <w:rPr>
          <w:rFonts w:ascii="黑体" w:hAnsi="黑体" w:eastAsia="黑体"/>
          <w:sz w:val="32"/>
          <w:szCs w:val="32"/>
        </w:rPr>
        <w:tab/>
      </w:r>
      <w:bookmarkStart w:id="1" w:name="_Toc15425_WPSOffice_Level1Page"/>
      <w:r>
        <w:rPr>
          <w:rFonts w:ascii="黑体" w:hAnsi="黑体" w:eastAsia="黑体"/>
          <w:sz w:val="32"/>
          <w:szCs w:val="32"/>
        </w:rPr>
        <w:t>1</w:t>
      </w:r>
      <w:bookmarkEnd w:id="1"/>
      <w:r>
        <w:rPr>
          <w:rFonts w:ascii="黑体" w:hAnsi="黑体" w:eastAsia="黑体"/>
          <w:sz w:val="32"/>
          <w:szCs w:val="32"/>
        </w:rPr>
        <w:fldChar w:fldCharType="end"/>
      </w:r>
      <w:bookmarkEnd w:id="0"/>
      <w:r>
        <w:rPr>
          <w:rFonts w:hint="eastAsia" w:ascii="黑体" w:hAnsi="黑体" w:eastAsia="黑体"/>
          <w:sz w:val="32"/>
          <w:szCs w:val="32"/>
        </w:rPr>
        <w:t>1</w:t>
      </w:r>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黑体" w:eastAsia="黑体"/>
          <w:b/>
          <w:sz w:val="32"/>
          <w:szCs w:val="32"/>
        </w:rPr>
      </w:pPr>
      <w:bookmarkStart w:id="2" w:name="_Toc10720_WPSOffice_Level1"/>
      <w:bookmarkStart w:id="3" w:name="_Toc23465_WPSOffice_Level1"/>
      <w:bookmarkStart w:id="4" w:name="_Toc10049_WPSOffice_Level1"/>
      <w:bookmarkStart w:id="5" w:name="_Toc22941_WPSOffice_Level1"/>
      <w:bookmarkStart w:id="6" w:name="_Toc1704_WPSOffice_Level1"/>
      <w:bookmarkStart w:id="7" w:name="_Toc32433_WPSOffice_Level1"/>
      <w:bookmarkStart w:id="8" w:name="_Toc24238_WPSOffice_Level2"/>
      <w:bookmarkStart w:id="9" w:name="_Toc20274_WPSOffice_Level2"/>
      <w:bookmarkStart w:id="10" w:name="_Toc32622_WPSOffice_Level2"/>
      <w:bookmarkStart w:id="11" w:name="_Toc20205_WPSOffice_Level2"/>
      <w:bookmarkStart w:id="12" w:name="_Toc26580_WPSOffice_Level2"/>
      <w:bookmarkStart w:id="13" w:name="_Toc14159_WPSOffice_Level2"/>
      <w:r>
        <w:rPr>
          <w:rFonts w:hint="eastAsia" w:ascii="黑体" w:hAnsi="黑体" w:eastAsia="黑体"/>
          <w:b/>
          <w:sz w:val="32"/>
          <w:szCs w:val="32"/>
        </w:rPr>
        <w:t>第一部分 海南省东方航道所单位概况</w:t>
      </w:r>
      <w:bookmarkEnd w:id="2"/>
      <w:bookmarkEnd w:id="3"/>
      <w:bookmarkEnd w:id="4"/>
      <w:bookmarkEnd w:id="5"/>
      <w:bookmarkEnd w:id="6"/>
      <w:bookmarkEnd w:id="7"/>
    </w:p>
    <w:bookmarkEnd w:id="8"/>
    <w:p>
      <w:pPr>
        <w:ind w:firstLine="643" w:firstLineChars="200"/>
        <w:rPr>
          <w:rFonts w:ascii="仿宋" w:hAnsi="仿宋" w:eastAsia="仿宋" w:cs="黑体"/>
          <w:b/>
          <w:sz w:val="32"/>
          <w:szCs w:val="32"/>
        </w:rPr>
      </w:pPr>
      <w:r>
        <w:rPr>
          <w:rFonts w:hint="eastAsia" w:ascii="仿宋" w:hAnsi="仿宋" w:eastAsia="仿宋" w:cs="黑体"/>
          <w:b/>
          <w:sz w:val="32"/>
          <w:szCs w:val="32"/>
        </w:rPr>
        <w:t>一、单位职责</w:t>
      </w:r>
      <w:bookmarkEnd w:id="9"/>
      <w:bookmarkEnd w:id="10"/>
      <w:bookmarkEnd w:id="11"/>
      <w:bookmarkEnd w:id="12"/>
      <w:bookmarkEnd w:id="13"/>
    </w:p>
    <w:p>
      <w:pPr>
        <w:spacing w:line="360" w:lineRule="auto"/>
        <w:ind w:firstLine="640" w:firstLineChars="200"/>
        <w:rPr>
          <w:rFonts w:ascii="仿宋" w:hAnsi="仿宋" w:eastAsia="仿宋"/>
          <w:sz w:val="32"/>
          <w:szCs w:val="32"/>
        </w:rPr>
      </w:pPr>
      <w:bookmarkStart w:id="14" w:name="_Toc6572_WPSOffice_Level2"/>
      <w:bookmarkStart w:id="15" w:name="_Toc24474_WPSOffice_Level2"/>
      <w:bookmarkStart w:id="16" w:name="_Toc17796_WPSOffice_Level2"/>
      <w:bookmarkStart w:id="17" w:name="_Toc4833_WPSOffice_Level2"/>
      <w:bookmarkStart w:id="18" w:name="_Toc24059_WPSOffice_Level2"/>
      <w:r>
        <w:rPr>
          <w:rFonts w:hint="eastAsia" w:ascii="仿宋" w:hAnsi="仿宋" w:eastAsia="仿宋"/>
          <w:color w:val="000000"/>
          <w:sz w:val="32"/>
          <w:szCs w:val="32"/>
        </w:rPr>
        <w:t>主要职责是：根据法律法规规定和授权，负责管辖航道养护开发及航标维修管理。</w:t>
      </w:r>
      <w:r>
        <w:rPr>
          <w:rFonts w:hint="eastAsia" w:ascii="仿宋" w:hAnsi="仿宋" w:eastAsia="仿宋"/>
          <w:sz w:val="32"/>
          <w:szCs w:val="32"/>
        </w:rPr>
        <w:t>认真贯彻执行有关港口、航道等方面的法律、法规及规章制度；负责管理和养护八所港航道、昌化江航道等，总里程225公里。</w:t>
      </w:r>
      <w:r>
        <w:rPr>
          <w:rFonts w:hint="eastAsia" w:ascii="仿宋" w:hAnsi="仿宋" w:eastAsia="仿宋"/>
          <w:color w:val="000000"/>
          <w:sz w:val="32"/>
          <w:szCs w:val="32"/>
        </w:rPr>
        <w:t>航标17座。为财政预算管理单位。</w:t>
      </w:r>
    </w:p>
    <w:p>
      <w:pPr>
        <w:ind w:firstLine="643" w:firstLineChars="200"/>
        <w:rPr>
          <w:rFonts w:ascii="仿宋" w:hAnsi="仿宋" w:eastAsia="仿宋" w:cs="黑体"/>
          <w:b/>
          <w:sz w:val="32"/>
          <w:szCs w:val="32"/>
        </w:rPr>
      </w:pPr>
      <w:r>
        <w:rPr>
          <w:rFonts w:hint="eastAsia" w:ascii="仿宋" w:hAnsi="仿宋" w:eastAsia="仿宋" w:cs="黑体"/>
          <w:b/>
          <w:sz w:val="32"/>
          <w:szCs w:val="32"/>
        </w:rPr>
        <w:t>二、机构设置</w:t>
      </w:r>
      <w:bookmarkEnd w:id="14"/>
      <w:bookmarkEnd w:id="15"/>
      <w:bookmarkEnd w:id="16"/>
      <w:bookmarkEnd w:id="17"/>
      <w:bookmarkEnd w:id="18"/>
    </w:p>
    <w:p>
      <w:pPr>
        <w:ind w:firstLine="640" w:firstLineChars="200"/>
        <w:rPr>
          <w:rFonts w:ascii="仿宋" w:hAnsi="仿宋" w:eastAsia="仿宋"/>
          <w:sz w:val="32"/>
          <w:szCs w:val="32"/>
        </w:rPr>
      </w:pPr>
      <w:r>
        <w:rPr>
          <w:rFonts w:hint="eastAsia" w:ascii="仿宋" w:hAnsi="仿宋" w:eastAsia="仿宋"/>
          <w:sz w:val="32"/>
          <w:szCs w:val="32"/>
        </w:rPr>
        <w:t>本单位成立于1995年1月份 (琼编办[1995]2号、[2002]119号、文件)，2016年7月20日由万宁航道所更名为东方航道所（琼编办[2016]267号文件，</w:t>
      </w:r>
      <w:r>
        <w:rPr>
          <w:rFonts w:hint="eastAsia" w:ascii="仿宋" w:hAnsi="仿宋" w:eastAsia="仿宋"/>
          <w:color w:val="000000"/>
          <w:sz w:val="32"/>
          <w:szCs w:val="32"/>
        </w:rPr>
        <w:t>正科级，隶属海南省港航管理局，单位性质为公益一类事业单位，在编人数5人，</w:t>
      </w:r>
      <w:r>
        <w:rPr>
          <w:rFonts w:hint="eastAsia" w:ascii="仿宋" w:hAnsi="仿宋" w:eastAsia="仿宋"/>
          <w:sz w:val="32"/>
          <w:szCs w:val="32"/>
        </w:rPr>
        <w:t>内设航道航标室、财务室、办公室、所长室。</w:t>
      </w:r>
    </w:p>
    <w:p>
      <w:pPr>
        <w:ind w:firstLine="640" w:firstLineChars="200"/>
        <w:rPr>
          <w:rFonts w:ascii="仿宋" w:hAnsi="仿宋" w:eastAsia="仿宋"/>
          <w:sz w:val="32"/>
          <w:szCs w:val="32"/>
        </w:rPr>
      </w:pPr>
    </w:p>
    <w:p>
      <w:pPr>
        <w:jc w:val="center"/>
        <w:rPr>
          <w:rFonts w:ascii="黑体" w:hAnsi="黑体" w:eastAsia="黑体"/>
          <w:b/>
          <w:sz w:val="32"/>
          <w:szCs w:val="32"/>
        </w:rPr>
      </w:pPr>
      <w:bookmarkStart w:id="19" w:name="_Toc8164_WPSOffice_Level1"/>
      <w:bookmarkStart w:id="20" w:name="_Toc30451_WPSOffice_Level1"/>
      <w:bookmarkStart w:id="21" w:name="_Toc6234_WPSOffice_Level1"/>
      <w:bookmarkStart w:id="22" w:name="_Toc15521_WPSOffice_Level1"/>
      <w:bookmarkStart w:id="23" w:name="_Toc28253_WPSOffice_Level1"/>
      <w:bookmarkStart w:id="24" w:name="_Toc30690_WPSOffice_Level1"/>
      <w:bookmarkStart w:id="25" w:name="_Toc6211_WPSOffice_Level2"/>
      <w:bookmarkStart w:id="26" w:name="_Toc32695_WPSOffice_Level2"/>
      <w:bookmarkStart w:id="27" w:name="_Toc8867_WPSOffice_Level2"/>
      <w:bookmarkStart w:id="28" w:name="_Toc11518_WPSOffice_Level2"/>
      <w:bookmarkStart w:id="29" w:name="_Toc4029_WPSOffice_Level2"/>
      <w:bookmarkStart w:id="30" w:name="_Toc32472_WPSOffice_Level2"/>
      <w:r>
        <w:rPr>
          <w:rFonts w:hint="eastAsia" w:ascii="黑体" w:hAnsi="黑体" w:eastAsia="黑体"/>
          <w:b/>
          <w:sz w:val="32"/>
          <w:szCs w:val="32"/>
        </w:rPr>
        <w:t>第二部分  海南省东方航道所2021年度单位决算公开报表</w:t>
      </w:r>
      <w:bookmarkEnd w:id="19"/>
      <w:bookmarkEnd w:id="20"/>
      <w:bookmarkEnd w:id="21"/>
      <w:bookmarkEnd w:id="22"/>
      <w:bookmarkEnd w:id="23"/>
      <w:bookmarkEnd w:id="24"/>
    </w:p>
    <w:p>
      <w:pPr>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bookmarkEnd w:id="25"/>
      <w:bookmarkEnd w:id="26"/>
      <w:bookmarkEnd w:id="27"/>
      <w:r>
        <w:rPr>
          <w:rFonts w:hint="eastAsia" w:ascii="仿宋" w:hAnsi="仿宋" w:eastAsia="仿宋" w:cs="黑体"/>
          <w:sz w:val="32"/>
          <w:szCs w:val="32"/>
        </w:rPr>
        <w:t>。</w:t>
      </w:r>
      <w:bookmarkEnd w:id="28"/>
      <w:bookmarkEnd w:id="29"/>
      <w:bookmarkEnd w:id="30"/>
    </w:p>
    <w:p>
      <w:pPr>
        <w:ind w:firstLine="645"/>
        <w:rPr>
          <w:rFonts w:ascii="仿宋" w:hAnsi="仿宋" w:eastAsia="仿宋" w:cs="黑体"/>
          <w:sz w:val="32"/>
          <w:szCs w:val="32"/>
        </w:rPr>
      </w:pPr>
      <w:bookmarkStart w:id="31" w:name="_Toc26621_WPSOffice_Level2"/>
      <w:bookmarkStart w:id="32" w:name="_Toc25608_WPSOffice_Level2"/>
      <w:bookmarkStart w:id="33" w:name="_Toc23139_WPSOffice_Level2"/>
      <w:bookmarkStart w:id="34" w:name="_Toc28622_WPSOffice_Level2"/>
      <w:bookmarkStart w:id="35" w:name="_Toc14349_WPSOffice_Level2"/>
      <w:bookmarkStart w:id="36" w:name="_Toc30334_WPSOffice_Level2"/>
      <w:r>
        <w:rPr>
          <w:rFonts w:hint="eastAsia" w:ascii="仿宋" w:hAnsi="仿宋" w:eastAsia="仿宋" w:cs="黑体"/>
          <w:sz w:val="32"/>
          <w:szCs w:val="32"/>
        </w:rPr>
        <w:t>二、收入决算公开表（见正文附件）</w:t>
      </w:r>
      <w:bookmarkEnd w:id="31"/>
      <w:bookmarkEnd w:id="32"/>
      <w:bookmarkEnd w:id="33"/>
      <w:r>
        <w:rPr>
          <w:rFonts w:hint="eastAsia" w:ascii="仿宋" w:hAnsi="仿宋" w:eastAsia="仿宋" w:cs="黑体"/>
          <w:sz w:val="32"/>
          <w:szCs w:val="32"/>
        </w:rPr>
        <w:t>。</w:t>
      </w:r>
      <w:bookmarkEnd w:id="34"/>
      <w:bookmarkEnd w:id="35"/>
      <w:bookmarkEnd w:id="36"/>
    </w:p>
    <w:p>
      <w:pPr>
        <w:ind w:firstLine="645"/>
        <w:rPr>
          <w:rFonts w:ascii="仿宋" w:hAnsi="仿宋" w:eastAsia="仿宋" w:cs="黑体"/>
          <w:sz w:val="32"/>
          <w:szCs w:val="32"/>
        </w:rPr>
      </w:pPr>
      <w:bookmarkStart w:id="37" w:name="_Toc17858_WPSOffice_Level2"/>
      <w:bookmarkStart w:id="38" w:name="_Toc17626_WPSOffice_Level2"/>
      <w:bookmarkStart w:id="39" w:name="_Toc3262_WPSOffice_Level2"/>
      <w:bookmarkStart w:id="40" w:name="_Toc14658_WPSOffice_Level2"/>
      <w:bookmarkStart w:id="41" w:name="_Toc5489_WPSOffice_Level2"/>
      <w:bookmarkStart w:id="42" w:name="_Toc13854_WPSOffice_Level2"/>
      <w:r>
        <w:rPr>
          <w:rFonts w:hint="eastAsia" w:ascii="仿宋" w:hAnsi="仿宋" w:eastAsia="仿宋" w:cs="黑体"/>
          <w:sz w:val="32"/>
          <w:szCs w:val="32"/>
        </w:rPr>
        <w:t>三、支出决算公开表（见正文附件）</w:t>
      </w:r>
      <w:bookmarkEnd w:id="37"/>
      <w:bookmarkEnd w:id="38"/>
      <w:bookmarkEnd w:id="39"/>
      <w:r>
        <w:rPr>
          <w:rFonts w:hint="eastAsia" w:ascii="仿宋" w:hAnsi="仿宋" w:eastAsia="仿宋" w:cs="黑体"/>
          <w:sz w:val="32"/>
          <w:szCs w:val="32"/>
        </w:rPr>
        <w:t>。</w:t>
      </w:r>
      <w:bookmarkEnd w:id="40"/>
      <w:bookmarkEnd w:id="41"/>
      <w:bookmarkEnd w:id="42"/>
    </w:p>
    <w:p>
      <w:pPr>
        <w:ind w:firstLine="645"/>
        <w:rPr>
          <w:rFonts w:ascii="仿宋" w:hAnsi="仿宋" w:eastAsia="仿宋"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4265_WPSOffice_Level2"/>
      <w:bookmarkStart w:id="48" w:name="_Toc23493_WPSOffice_Level2"/>
      <w:r>
        <w:rPr>
          <w:rFonts w:hint="eastAsia" w:ascii="仿宋" w:hAnsi="仿宋" w:eastAsia="仿宋" w:cs="黑体"/>
          <w:sz w:val="32"/>
          <w:szCs w:val="32"/>
        </w:rPr>
        <w:t>四、财政拨款收入支出决算公开表（见正文附件）</w:t>
      </w:r>
      <w:bookmarkEnd w:id="43"/>
      <w:bookmarkEnd w:id="44"/>
      <w:bookmarkEnd w:id="45"/>
      <w:r>
        <w:rPr>
          <w:rFonts w:hint="eastAsia" w:ascii="仿宋" w:hAnsi="仿宋" w:eastAsia="仿宋" w:cs="黑体"/>
          <w:sz w:val="32"/>
          <w:szCs w:val="32"/>
        </w:rPr>
        <w:t>。</w:t>
      </w:r>
      <w:bookmarkEnd w:id="46"/>
      <w:bookmarkEnd w:id="47"/>
      <w:bookmarkEnd w:id="48"/>
    </w:p>
    <w:p>
      <w:pPr>
        <w:ind w:firstLine="645"/>
        <w:rPr>
          <w:rFonts w:ascii="仿宋" w:hAnsi="仿宋" w:eastAsia="仿宋" w:cs="黑体"/>
          <w:sz w:val="32"/>
          <w:szCs w:val="32"/>
        </w:rPr>
      </w:pPr>
      <w:bookmarkStart w:id="49" w:name="_Toc25166_WPSOffice_Level2"/>
      <w:bookmarkStart w:id="50" w:name="_Toc23829_WPSOffice_Level2"/>
      <w:bookmarkStart w:id="51" w:name="_Toc22783_WPSOffice_Level2"/>
      <w:bookmarkStart w:id="52" w:name="_Toc7879_WPSOffice_Level2"/>
      <w:bookmarkStart w:id="53" w:name="_Toc13516_WPSOffice_Level2"/>
      <w:bookmarkStart w:id="54" w:name="_Toc2158_WPSOffice_Level2"/>
      <w:r>
        <w:rPr>
          <w:rFonts w:hint="eastAsia" w:ascii="仿宋" w:hAnsi="仿宋" w:eastAsia="仿宋" w:cs="黑体"/>
          <w:sz w:val="32"/>
          <w:szCs w:val="32"/>
        </w:rPr>
        <w:t>五、一般公共预算财政拨款收入支出决算</w:t>
      </w:r>
      <w:bookmarkEnd w:id="49"/>
      <w:bookmarkEnd w:id="50"/>
      <w:bookmarkEnd w:id="51"/>
      <w:bookmarkEnd w:id="52"/>
      <w:r>
        <w:rPr>
          <w:rFonts w:hint="eastAsia" w:ascii="仿宋" w:hAnsi="仿宋" w:eastAsia="仿宋" w:cs="黑体"/>
          <w:sz w:val="32"/>
          <w:szCs w:val="32"/>
        </w:rPr>
        <w:t>公开表</w:t>
      </w:r>
    </w:p>
    <w:p>
      <w:pPr>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53"/>
      <w:bookmarkEnd w:id="54"/>
      <w:r>
        <w:rPr>
          <w:rFonts w:hint="eastAsia" w:ascii="仿宋" w:hAnsi="仿宋" w:eastAsia="仿宋" w:cs="黑体"/>
          <w:sz w:val="32"/>
          <w:szCs w:val="32"/>
        </w:rPr>
        <w:t>。</w:t>
      </w:r>
    </w:p>
    <w:p>
      <w:pPr>
        <w:ind w:firstLine="645"/>
        <w:rPr>
          <w:rFonts w:ascii="仿宋" w:hAnsi="仿宋" w:eastAsia="仿宋" w:cs="黑体"/>
          <w:sz w:val="32"/>
          <w:szCs w:val="32"/>
        </w:rPr>
      </w:pPr>
      <w:bookmarkStart w:id="55" w:name="_Toc5343_WPSOffice_Level2"/>
      <w:bookmarkStart w:id="56" w:name="_Toc25362_WPSOffice_Level2"/>
      <w:bookmarkStart w:id="57" w:name="_Toc17833_WPSOffice_Level2"/>
      <w:bookmarkStart w:id="58" w:name="_Toc8373_WPSOffice_Level2"/>
      <w:bookmarkStart w:id="59" w:name="_Toc17283_WPSOffice_Level2"/>
      <w:bookmarkStart w:id="60" w:name="_Toc2632_WPSOffice_Level2"/>
      <w:r>
        <w:rPr>
          <w:rFonts w:hint="eastAsia" w:ascii="仿宋" w:hAnsi="仿宋" w:eastAsia="仿宋" w:cs="黑体"/>
          <w:sz w:val="32"/>
          <w:szCs w:val="32"/>
        </w:rPr>
        <w:t>六、一般公共预算财政拨款基本支出决算</w:t>
      </w:r>
      <w:bookmarkEnd w:id="55"/>
      <w:bookmarkEnd w:id="56"/>
      <w:bookmarkEnd w:id="57"/>
      <w:bookmarkEnd w:id="58"/>
      <w:bookmarkEnd w:id="59"/>
      <w:bookmarkEnd w:id="60"/>
      <w:r>
        <w:rPr>
          <w:rFonts w:hint="eastAsia" w:ascii="仿宋" w:hAnsi="仿宋" w:eastAsia="仿宋" w:cs="黑体"/>
          <w:sz w:val="32"/>
          <w:szCs w:val="32"/>
        </w:rPr>
        <w:t>公开表</w:t>
      </w:r>
    </w:p>
    <w:p>
      <w:pPr>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bookmarkStart w:id="61" w:name="_Toc13345_WPSOffice_Level2"/>
      <w:bookmarkStart w:id="62" w:name="_Toc5594_WPSOffice_Level2"/>
      <w:bookmarkStart w:id="63" w:name="_Toc21310_WPSOffice_Level2"/>
      <w:bookmarkStart w:id="64" w:name="_Toc1533_WPSOffice_Level2"/>
      <w:bookmarkStart w:id="65" w:name="_Toc11799_WPSOffice_Level2"/>
      <w:bookmarkStart w:id="66" w:name="_Toc6020_WPSOffice_Level2"/>
      <w:r>
        <w:rPr>
          <w:rFonts w:hint="eastAsia" w:ascii="仿宋" w:hAnsi="仿宋" w:eastAsia="仿宋" w:cs="黑体"/>
          <w:sz w:val="32"/>
          <w:szCs w:val="32"/>
        </w:rPr>
        <w:t>七、政府性基金预算财政拨款收入支出决算</w:t>
      </w:r>
      <w:bookmarkEnd w:id="61"/>
      <w:bookmarkEnd w:id="62"/>
      <w:bookmarkEnd w:id="63"/>
      <w:bookmarkEnd w:id="64"/>
      <w:bookmarkEnd w:id="65"/>
      <w:bookmarkEnd w:id="66"/>
      <w:r>
        <w:rPr>
          <w:rFonts w:hint="eastAsia" w:ascii="仿宋" w:hAnsi="仿宋" w:eastAsia="仿宋" w:cs="黑体"/>
          <w:sz w:val="32"/>
          <w:szCs w:val="32"/>
        </w:rPr>
        <w:t>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ind w:left="1118"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ind w:left="1277"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rPr>
          <w:rFonts w:ascii="仿宋" w:hAnsi="仿宋" w:eastAsia="仿宋" w:cs="黑体"/>
          <w:sz w:val="32"/>
          <w:szCs w:val="32"/>
        </w:rPr>
      </w:pPr>
      <w:bookmarkStart w:id="67" w:name="_Toc19961_WPSOffice_Level2"/>
      <w:bookmarkStart w:id="68" w:name="_Toc9377_WPSOffice_Level2"/>
      <w:bookmarkStart w:id="69" w:name="_Toc29886_WPSOffice_Level2"/>
      <w:bookmarkStart w:id="70" w:name="_Toc1820_WPSOffice_Level2"/>
      <w:r>
        <w:rPr>
          <w:rFonts w:hint="eastAsia" w:ascii="仿宋" w:hAnsi="仿宋" w:eastAsia="仿宋" w:cs="黑体"/>
          <w:sz w:val="32"/>
          <w:szCs w:val="32"/>
        </w:rPr>
        <w:t xml:space="preserve">    九、一般公共预算财政拨款“三公”经费支出决算</w:t>
      </w:r>
    </w:p>
    <w:bookmarkEnd w:id="67"/>
    <w:bookmarkEnd w:id="68"/>
    <w:bookmarkEnd w:id="69"/>
    <w:bookmarkEnd w:id="70"/>
    <w:p>
      <w:pPr>
        <w:rPr>
          <w:rFonts w:ascii="仿宋" w:hAnsi="仿宋" w:eastAsia="仿宋" w:cs="黑体"/>
          <w:sz w:val="32"/>
          <w:szCs w:val="32"/>
        </w:rPr>
      </w:pPr>
      <w:r>
        <w:rPr>
          <w:rFonts w:hint="eastAsia" w:ascii="仿宋" w:hAnsi="仿宋" w:eastAsia="仿宋" w:cs="黑体"/>
          <w:sz w:val="32"/>
          <w:szCs w:val="32"/>
        </w:rPr>
        <w:t>公开表（见正文附件）。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w:t>
      </w:r>
    </w:p>
    <w:p>
      <w:pPr>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rPr>
          <w:rFonts w:ascii="仿宋" w:hAnsi="仿宋" w:eastAsia="仿宋" w:cs="黑体"/>
          <w:sz w:val="32"/>
          <w:szCs w:val="32"/>
        </w:rPr>
      </w:pPr>
    </w:p>
    <w:p>
      <w:pPr>
        <w:jc w:val="center"/>
        <w:rPr>
          <w:rFonts w:ascii="黑体" w:hAnsi="黑体" w:eastAsia="黑体"/>
          <w:b/>
          <w:sz w:val="32"/>
          <w:szCs w:val="32"/>
        </w:rPr>
      </w:pPr>
      <w:bookmarkStart w:id="71" w:name="_Toc4402_WPSOffice_Level1"/>
      <w:bookmarkStart w:id="72" w:name="_Toc31264_WPSOffice_Level1"/>
      <w:bookmarkStart w:id="73" w:name="_Toc16686_WPSOffice_Level1"/>
      <w:bookmarkStart w:id="74" w:name="_Toc29683_WPSOffice_Level1"/>
      <w:bookmarkStart w:id="75" w:name="_Toc28629_WPSOffice_Level1"/>
      <w:bookmarkStart w:id="76" w:name="_Toc27590_WPSOffice_Level1"/>
      <w:r>
        <w:rPr>
          <w:rFonts w:hint="eastAsia" w:ascii="黑体" w:hAnsi="黑体" w:eastAsia="黑体"/>
          <w:b/>
          <w:sz w:val="32"/>
          <w:szCs w:val="32"/>
        </w:rPr>
        <w:t>第三部分  海南省东方航道所2021年度单位决算情况说明</w:t>
      </w:r>
      <w:bookmarkEnd w:id="71"/>
      <w:bookmarkEnd w:id="72"/>
      <w:bookmarkEnd w:id="73"/>
      <w:bookmarkEnd w:id="74"/>
      <w:bookmarkEnd w:id="75"/>
      <w:bookmarkEnd w:id="76"/>
    </w:p>
    <w:p>
      <w:pPr>
        <w:snapToGrid w:val="0"/>
        <w:spacing w:line="50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一、收入支出决算总体情况说明</w:t>
      </w:r>
    </w:p>
    <w:p>
      <w:pPr>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 xml:space="preserve"> 2021年度收入总计295.18万元，支出总计295.18万元，与2020年度220.62万元相比，收入、支出总计增加74.56万元，增长</w:t>
      </w:r>
      <w:r>
        <w:rPr>
          <w:rFonts w:hint="eastAsia" w:ascii="仿宋" w:hAnsi="仿宋" w:eastAsia="仿宋"/>
          <w:sz w:val="32"/>
          <w:szCs w:val="32"/>
          <w:lang w:val="en-US" w:eastAsia="zh-CN"/>
        </w:rPr>
        <w:t>33.80</w:t>
      </w:r>
      <w:r>
        <w:rPr>
          <w:rFonts w:hint="eastAsia" w:ascii="仿宋" w:hAnsi="仿宋" w:eastAsia="仿宋"/>
          <w:sz w:val="32"/>
          <w:szCs w:val="32"/>
        </w:rPr>
        <w:t>%。主要原因：</w:t>
      </w:r>
      <w:r>
        <w:rPr>
          <w:rFonts w:hint="eastAsia" w:ascii="仿宋" w:hAnsi="仿宋" w:eastAsia="仿宋"/>
          <w:color w:val="000000"/>
          <w:sz w:val="32"/>
          <w:szCs w:val="32"/>
        </w:rPr>
        <w:t>2021年项目增加购买海上浮标4座32.20万元及一体化遥控遥测航标灯19套43.2万元。</w:t>
      </w:r>
      <w:r>
        <w:rPr>
          <w:rFonts w:hint="eastAsia" w:ascii="仿宋" w:hAnsi="仿宋" w:eastAsia="仿宋"/>
          <w:sz w:val="32"/>
          <w:szCs w:val="32"/>
        </w:rPr>
        <w:t>使用非财政拨款结余0万元，与2020年度决算数持平。年初结转结余0万元，与2020年度决算数持平。结余分配0万元，与2020年度决算数持平。年末结转结余0万元，与2020年度决算数持平。</w:t>
      </w:r>
    </w:p>
    <w:p>
      <w:pPr>
        <w:snapToGrid w:val="0"/>
        <w:spacing w:line="60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二、收入决算情况说明</w:t>
      </w:r>
    </w:p>
    <w:p>
      <w:pPr>
        <w:snapToGrid w:val="0"/>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2"/>
          <w:szCs w:val="32"/>
        </w:rPr>
        <w:t>本年收入合计295.18万元，其中：财政拨款收入295.18万元，占100%；上级补助收入0万元；事业收入0万元，；经营收入0万元；附属单位上缴收入0万元；其他收入0万元。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三、支出决算情况说明</w:t>
      </w:r>
    </w:p>
    <w:p>
      <w:pPr>
        <w:ind w:firstLine="640" w:firstLineChars="200"/>
        <w:rPr>
          <w:rFonts w:ascii="仿宋" w:hAnsi="仿宋" w:eastAsia="仿宋"/>
          <w:sz w:val="30"/>
          <w:szCs w:val="30"/>
        </w:rPr>
      </w:pPr>
      <w:r>
        <w:rPr>
          <w:rFonts w:hint="eastAsia" w:ascii="仿宋" w:hAnsi="仿宋" w:eastAsia="仿宋"/>
          <w:sz w:val="32"/>
          <w:szCs w:val="32"/>
        </w:rPr>
        <w:t>本年支出合计295.18万元，其中：基本支出92.75万元，占31.42%；项目支出202.43万元，占68.58%；上缴上级支出0万元；经营支出0万元；对附属单位补助支出0万元。</w:t>
      </w:r>
    </w:p>
    <w:p>
      <w:pPr>
        <w:ind w:firstLine="630" w:firstLineChars="196"/>
        <w:rPr>
          <w:rFonts w:ascii="仿宋" w:hAnsi="仿宋" w:eastAsia="仿宋" w:cs="黑体"/>
          <w:b/>
          <w:bCs/>
          <w:sz w:val="32"/>
          <w:szCs w:val="32"/>
        </w:rPr>
      </w:pPr>
      <w:r>
        <w:rPr>
          <w:rFonts w:hint="eastAsia" w:ascii="仿宋" w:hAnsi="仿宋" w:eastAsia="仿宋" w:cs="黑体"/>
          <w:b/>
          <w:bCs/>
          <w:sz w:val="32"/>
          <w:szCs w:val="32"/>
        </w:rPr>
        <w:t>四、财政拨款收入支出决算总体情况说明</w:t>
      </w:r>
    </w:p>
    <w:p>
      <w:pPr>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2021年度财政拨款收入总计295.18万元，支出总计295.18万元。与2020年度220.62万元相比，财政拨款收入、支出总计增加74.56万元，增长</w:t>
      </w:r>
      <w:r>
        <w:rPr>
          <w:rFonts w:hint="eastAsia" w:ascii="仿宋" w:hAnsi="仿宋" w:eastAsia="仿宋"/>
          <w:sz w:val="32"/>
          <w:szCs w:val="32"/>
          <w:lang w:val="en-US" w:eastAsia="zh-CN"/>
        </w:rPr>
        <w:t>33.80</w:t>
      </w:r>
      <w:r>
        <w:rPr>
          <w:rFonts w:hint="eastAsia" w:ascii="仿宋" w:hAnsi="仿宋" w:eastAsia="仿宋"/>
          <w:sz w:val="32"/>
          <w:szCs w:val="32"/>
        </w:rPr>
        <w:t>%。主要原因：</w:t>
      </w:r>
      <w:r>
        <w:rPr>
          <w:rFonts w:hint="eastAsia" w:ascii="仿宋" w:hAnsi="仿宋" w:eastAsia="仿宋"/>
          <w:color w:val="000000"/>
          <w:sz w:val="32"/>
          <w:szCs w:val="32"/>
        </w:rPr>
        <w:t>2021年项目增加购买海上浮标4座32.20万元及一体化遥控遥测航标灯19套43.2万元。</w:t>
      </w:r>
      <w:r>
        <w:rPr>
          <w:rFonts w:hint="eastAsia" w:ascii="仿宋" w:hAnsi="仿宋" w:eastAsia="仿宋"/>
          <w:sz w:val="32"/>
          <w:szCs w:val="32"/>
        </w:rPr>
        <w:t>财政拨款年初结转结余0万元，与2020年度决算数持平。财政拨款年末结转结余0万元，与2020年度决算数持平。</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五、一般公共预算财政拨款支出决算情况说明</w:t>
      </w:r>
    </w:p>
    <w:p>
      <w:pPr>
        <w:ind w:firstLine="643" w:firstLineChars="200"/>
        <w:rPr>
          <w:rFonts w:ascii="楷体" w:hAnsi="楷体" w:eastAsia="楷体" w:cs="楷体"/>
          <w:b/>
          <w:sz w:val="32"/>
          <w:szCs w:val="32"/>
        </w:rPr>
      </w:pPr>
      <w:bookmarkStart w:id="77" w:name="_Toc13694_WPSOffice_Level2"/>
      <w:bookmarkStart w:id="78" w:name="_Toc17398_WPSOffice_Level2"/>
      <w:bookmarkStart w:id="79" w:name="_Toc19665_WPSOffice_Level2"/>
      <w:bookmarkStart w:id="80" w:name="_Toc21737_WPSOffice_Level2"/>
      <w:bookmarkStart w:id="81" w:name="_Toc9989_WPSOffice_Level2"/>
      <w:bookmarkStart w:id="82" w:name="_Toc23005_WPSOffice_Level2"/>
      <w:r>
        <w:rPr>
          <w:rFonts w:hint="eastAsia" w:ascii="楷体" w:hAnsi="楷体" w:eastAsia="楷体" w:cs="楷体"/>
          <w:b/>
          <w:sz w:val="32"/>
          <w:szCs w:val="32"/>
        </w:rPr>
        <w:t>（一）一般公共预算财政拨款支出决算总体情况</w:t>
      </w:r>
      <w:bookmarkEnd w:id="77"/>
      <w:bookmarkEnd w:id="78"/>
      <w:r>
        <w:rPr>
          <w:rFonts w:hint="eastAsia" w:ascii="楷体" w:hAnsi="楷体" w:eastAsia="楷体" w:cs="楷体"/>
          <w:b/>
          <w:sz w:val="32"/>
          <w:szCs w:val="32"/>
        </w:rPr>
        <w:t>。</w:t>
      </w:r>
      <w:bookmarkEnd w:id="79"/>
      <w:bookmarkEnd w:id="80"/>
      <w:bookmarkEnd w:id="81"/>
      <w:bookmarkEnd w:id="82"/>
    </w:p>
    <w:p>
      <w:pPr>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2021年度一般公共预算财政拨款支出295.18万元，占本年支出合计的100%。与2020年度220.62万元相比，一般公共预算财政拨款支出增加74.56万元，增长</w:t>
      </w:r>
      <w:r>
        <w:rPr>
          <w:rFonts w:hint="eastAsia" w:ascii="仿宋" w:hAnsi="仿宋" w:eastAsia="仿宋"/>
          <w:sz w:val="32"/>
          <w:szCs w:val="32"/>
          <w:lang w:val="en-US" w:eastAsia="zh-CN"/>
        </w:rPr>
        <w:t>33.80</w:t>
      </w:r>
      <w:r>
        <w:rPr>
          <w:rFonts w:hint="eastAsia" w:ascii="仿宋" w:hAnsi="仿宋" w:eastAsia="仿宋"/>
          <w:sz w:val="32"/>
          <w:szCs w:val="32"/>
        </w:rPr>
        <w:t>%，</w:t>
      </w:r>
      <w:bookmarkStart w:id="83" w:name="_Toc2711_WPSOffice_Level2"/>
      <w:bookmarkStart w:id="84" w:name="_Toc18793_WPSOffice_Level2"/>
      <w:bookmarkStart w:id="85" w:name="_Toc19075_WPSOffice_Level2"/>
      <w:bookmarkStart w:id="86" w:name="_Toc19535_WPSOffice_Level2"/>
      <w:bookmarkStart w:id="87" w:name="_Toc23864_WPSOffice_Level2"/>
      <w:bookmarkStart w:id="88" w:name="_Toc27767_WPSOffice_Level2"/>
      <w:r>
        <w:rPr>
          <w:rFonts w:hint="eastAsia" w:ascii="仿宋" w:hAnsi="仿宋" w:eastAsia="仿宋"/>
          <w:sz w:val="32"/>
          <w:szCs w:val="32"/>
        </w:rPr>
        <w:t>主要原因：</w:t>
      </w:r>
      <w:r>
        <w:rPr>
          <w:rFonts w:hint="eastAsia" w:ascii="仿宋" w:hAnsi="仿宋" w:eastAsia="仿宋"/>
          <w:color w:val="000000"/>
          <w:sz w:val="32"/>
          <w:szCs w:val="32"/>
        </w:rPr>
        <w:t>2021年项目增加购买海上浮标4座32.20万元及一体化遥控遥测航标灯19套43.2万元。</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（二）一般公共预算财政拨款支出决算结构情况</w:t>
      </w:r>
      <w:bookmarkEnd w:id="83"/>
      <w:bookmarkEnd w:id="84"/>
      <w:r>
        <w:rPr>
          <w:rFonts w:hint="eastAsia" w:ascii="楷体" w:hAnsi="楷体" w:eastAsia="楷体" w:cs="楷体"/>
          <w:b/>
          <w:sz w:val="32"/>
          <w:szCs w:val="32"/>
        </w:rPr>
        <w:t>。</w:t>
      </w:r>
      <w:bookmarkEnd w:id="85"/>
      <w:bookmarkEnd w:id="86"/>
      <w:bookmarkEnd w:id="87"/>
      <w:bookmarkEnd w:id="88"/>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2021年度一般公共预算财政拨款支出295.18万元，主要用于以下方面：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支出6.58万元，占2.2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cs="Arial"/>
          <w:b/>
          <w:color w:val="000000"/>
          <w:kern w:val="0"/>
          <w:sz w:val="32"/>
          <w:szCs w:val="32"/>
        </w:rPr>
        <w:t>卫生健康</w:t>
      </w:r>
      <w:r>
        <w:rPr>
          <w:rFonts w:hint="eastAsia" w:ascii="仿宋" w:hAnsi="仿宋" w:eastAsia="仿宋"/>
          <w:b/>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rPr>
        <w:t>3.5万元，占1.</w:t>
      </w:r>
      <w:r>
        <w:rPr>
          <w:rFonts w:hint="eastAsia" w:ascii="仿宋" w:hAnsi="仿宋" w:eastAsia="仿宋"/>
          <w:sz w:val="32"/>
          <w:szCs w:val="32"/>
          <w:lang w:val="en-US" w:eastAsia="zh-CN"/>
        </w:rPr>
        <w:t>19</w:t>
      </w:r>
      <w:r>
        <w:rPr>
          <w:rFonts w:hint="eastAsia" w:ascii="仿宋" w:hAnsi="仿宋" w:eastAsia="仿宋"/>
          <w:sz w:val="32"/>
          <w:szCs w:val="32"/>
        </w:rPr>
        <w:t>%；</w:t>
      </w:r>
      <w:r>
        <w:rPr>
          <w:rFonts w:hint="eastAsia" w:ascii="仿宋" w:hAnsi="仿宋" w:eastAsia="仿宋" w:cs="Arial"/>
          <w:b/>
          <w:color w:val="000000"/>
          <w:kern w:val="0"/>
          <w:sz w:val="32"/>
          <w:szCs w:val="32"/>
        </w:rPr>
        <w:t>交通运输</w:t>
      </w:r>
      <w:r>
        <w:rPr>
          <w:rFonts w:hint="eastAsia" w:ascii="仿宋" w:hAnsi="仿宋" w:eastAsia="仿宋"/>
          <w:b/>
          <w:sz w:val="32"/>
          <w:szCs w:val="32"/>
        </w:rPr>
        <w:t>（类）</w:t>
      </w:r>
      <w:r>
        <w:rPr>
          <w:rFonts w:hint="eastAsia" w:ascii="仿宋" w:hAnsi="仿宋" w:eastAsia="仿宋" w:cs="Arial"/>
          <w:color w:val="000000"/>
          <w:kern w:val="0"/>
          <w:sz w:val="32"/>
          <w:szCs w:val="32"/>
        </w:rPr>
        <w:t>支出</w:t>
      </w:r>
      <w:r>
        <w:rPr>
          <w:rFonts w:hint="eastAsia" w:ascii="仿宋" w:hAnsi="仿宋" w:eastAsia="仿宋"/>
          <w:sz w:val="32"/>
          <w:szCs w:val="32"/>
        </w:rPr>
        <w:t>279.85万元，占94.80%；</w:t>
      </w:r>
      <w:r>
        <w:rPr>
          <w:rFonts w:hint="eastAsia" w:ascii="仿宋" w:hAnsi="仿宋" w:eastAsia="仿宋"/>
          <w:b/>
          <w:bCs/>
          <w:sz w:val="32"/>
          <w:szCs w:val="32"/>
        </w:rPr>
        <w:t>住房保障（类）</w:t>
      </w:r>
      <w:r>
        <w:rPr>
          <w:rFonts w:hint="eastAsia" w:ascii="仿宋" w:hAnsi="仿宋" w:eastAsia="仿宋"/>
          <w:sz w:val="32"/>
          <w:szCs w:val="32"/>
        </w:rPr>
        <w:t>支出5.26万元，占1.78%。</w:t>
      </w:r>
    </w:p>
    <w:p>
      <w:pPr>
        <w:ind w:firstLine="643" w:firstLineChars="200"/>
        <w:rPr>
          <w:rFonts w:ascii="楷体" w:hAnsi="楷体" w:eastAsia="楷体" w:cs="楷体"/>
          <w:b/>
          <w:sz w:val="32"/>
          <w:szCs w:val="32"/>
        </w:rPr>
      </w:pPr>
      <w:bookmarkStart w:id="89" w:name="_Toc29364_WPSOffice_Level2"/>
      <w:bookmarkStart w:id="90" w:name="_Toc15415_WPSOffice_Level2"/>
      <w:bookmarkStart w:id="91" w:name="_Toc9502_WPSOffice_Level2"/>
      <w:bookmarkStart w:id="92" w:name="_Toc22318_WPSOffice_Level2"/>
      <w:bookmarkStart w:id="93" w:name="_Toc21701_WPSOffice_Level2"/>
      <w:bookmarkStart w:id="94" w:name="_Toc25136_WPSOffice_Level2"/>
      <w:r>
        <w:rPr>
          <w:rFonts w:hint="eastAsia" w:ascii="楷体" w:hAnsi="楷体" w:eastAsia="楷体" w:cs="楷体"/>
          <w:b/>
          <w:sz w:val="32"/>
          <w:szCs w:val="32"/>
        </w:rPr>
        <w:t>（三）一般公共预算财政拨款支出决算具体情况。</w:t>
      </w:r>
      <w:bookmarkEnd w:id="89"/>
      <w:bookmarkEnd w:id="90"/>
      <w:bookmarkEnd w:id="91"/>
      <w:bookmarkEnd w:id="92"/>
      <w:bookmarkEnd w:id="93"/>
      <w:bookmarkEnd w:id="94"/>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2021年度一般公共预算财政拨款支出年初预算为295.02万元，支出决算为295.18万元，完成年初预算的100%。其中：</w:t>
      </w:r>
    </w:p>
    <w:p>
      <w:pPr>
        <w:ind w:firstLine="643" w:firstLineChars="200"/>
        <w:rPr>
          <w:rFonts w:ascii="仿宋" w:hAnsi="仿宋" w:eastAsia="仿宋"/>
          <w:b/>
          <w:color w:val="000000" w:themeColor="text1"/>
          <w:sz w:val="32"/>
          <w:szCs w:val="32"/>
        </w:rPr>
      </w:pPr>
      <w:r>
        <w:rPr>
          <w:rFonts w:hint="eastAsia" w:ascii="仿宋" w:hAnsi="仿宋" w:eastAsia="仿宋"/>
          <w:b/>
          <w:sz w:val="32"/>
          <w:szCs w:val="32"/>
        </w:rPr>
        <w:t>1.社会保障和就业（类）支出行政事业单位养老支出（款）</w:t>
      </w:r>
      <w:r>
        <w:rPr>
          <w:rFonts w:hint="eastAsia" w:ascii="仿宋" w:hAnsi="仿宋" w:eastAsia="仿宋"/>
          <w:b/>
          <w:color w:val="000000" w:themeColor="text1"/>
          <w:sz w:val="32"/>
          <w:szCs w:val="32"/>
        </w:rPr>
        <w:t>机关事业单位基本养老保险缴费支出（项）</w:t>
      </w:r>
    </w:p>
    <w:p>
      <w:pPr>
        <w:ind w:firstLine="640" w:firstLineChars="200"/>
        <w:rPr>
          <w:rFonts w:ascii="仿宋" w:hAnsi="仿宋" w:eastAsia="仿宋"/>
          <w:b/>
          <w:bCs/>
          <w:sz w:val="32"/>
          <w:szCs w:val="32"/>
        </w:rPr>
      </w:pPr>
      <w:r>
        <w:rPr>
          <w:rFonts w:hint="eastAsia" w:ascii="仿宋" w:hAnsi="仿宋" w:eastAsia="仿宋"/>
          <w:sz w:val="32"/>
          <w:szCs w:val="32"/>
        </w:rPr>
        <w:t>2021年年初预算为6.58万元，支出决算为6.58万元，完成年初预算的100%。</w:t>
      </w:r>
    </w:p>
    <w:p>
      <w:pPr>
        <w:ind w:firstLine="643" w:firstLineChars="200"/>
        <w:rPr>
          <w:rFonts w:ascii="仿宋" w:hAnsi="仿宋" w:eastAsia="仿宋"/>
          <w:b/>
          <w:sz w:val="32"/>
          <w:szCs w:val="32"/>
        </w:rPr>
      </w:pPr>
      <w:r>
        <w:rPr>
          <w:rFonts w:hint="eastAsia" w:ascii="仿宋" w:hAnsi="仿宋" w:eastAsia="仿宋"/>
          <w:b/>
          <w:sz w:val="32"/>
          <w:szCs w:val="32"/>
        </w:rPr>
        <w:t>2.卫生健康（类）支出行政事业单位医疗（款）事业单位医疗（项）</w:t>
      </w:r>
    </w:p>
    <w:p>
      <w:pPr>
        <w:ind w:firstLine="640" w:firstLineChars="200"/>
        <w:rPr>
          <w:rFonts w:ascii="仿宋" w:hAnsi="仿宋" w:eastAsia="仿宋"/>
          <w:b/>
          <w:bCs/>
          <w:color w:val="000000" w:themeColor="text1"/>
          <w:sz w:val="32"/>
          <w:szCs w:val="32"/>
        </w:rPr>
      </w:pPr>
      <w:r>
        <w:rPr>
          <w:rFonts w:hint="eastAsia" w:ascii="仿宋" w:hAnsi="仿宋" w:eastAsia="仿宋"/>
          <w:color w:val="000000" w:themeColor="text1"/>
          <w:sz w:val="32"/>
          <w:szCs w:val="32"/>
        </w:rPr>
        <w:t>2021年年初预算为3.50万元，支出决算为3.50万元，完成年初预算的100%。</w:t>
      </w:r>
    </w:p>
    <w:p>
      <w:pPr>
        <w:ind w:firstLine="643" w:firstLineChars="200"/>
        <w:rPr>
          <w:rFonts w:ascii="仿宋" w:hAnsi="仿宋" w:eastAsia="仿宋"/>
          <w:b/>
          <w:sz w:val="32"/>
          <w:szCs w:val="32"/>
        </w:rPr>
      </w:pPr>
      <w:r>
        <w:rPr>
          <w:rFonts w:hint="eastAsia" w:ascii="仿宋" w:hAnsi="仿宋" w:eastAsia="仿宋"/>
          <w:b/>
          <w:sz w:val="32"/>
          <w:szCs w:val="32"/>
        </w:rPr>
        <w:t>3.交通运输（类）支出公路水路运输（款）航道维护（项）</w:t>
      </w:r>
    </w:p>
    <w:p>
      <w:pPr>
        <w:ind w:firstLine="640" w:firstLineChars="200"/>
        <w:rPr>
          <w:rFonts w:ascii="仿宋" w:hAnsi="仿宋" w:eastAsia="仿宋"/>
          <w:color w:val="FF0000"/>
          <w:sz w:val="32"/>
          <w:szCs w:val="32"/>
        </w:rPr>
      </w:pPr>
      <w:r>
        <w:rPr>
          <w:rFonts w:hint="eastAsia" w:ascii="仿宋" w:hAnsi="仿宋" w:eastAsia="仿宋"/>
          <w:color w:val="000000" w:themeColor="text1"/>
          <w:sz w:val="32"/>
          <w:szCs w:val="32"/>
        </w:rPr>
        <w:t>2021年年初预算为202.43万元，支出决算为202.43万元，完成年初预算的100%。</w:t>
      </w:r>
    </w:p>
    <w:p>
      <w:pPr>
        <w:ind w:firstLine="643" w:firstLineChars="200"/>
        <w:rPr>
          <w:rFonts w:ascii="仿宋" w:hAnsi="仿宋" w:eastAsia="仿宋"/>
          <w:b/>
          <w:sz w:val="32"/>
          <w:szCs w:val="32"/>
        </w:rPr>
      </w:pPr>
      <w:r>
        <w:rPr>
          <w:rFonts w:hint="eastAsia" w:ascii="仿宋" w:hAnsi="仿宋" w:eastAsia="仿宋"/>
          <w:b/>
          <w:sz w:val="32"/>
          <w:szCs w:val="32"/>
        </w:rPr>
        <w:t>4.交通运输（类）支出公路水路运输（款）其他公路水路运输支出（项）</w:t>
      </w:r>
    </w:p>
    <w:p>
      <w:pPr>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2021年年初预算为77.25万元，支出决算为77.42万元，完成年初预算的100</w:t>
      </w:r>
      <w:r>
        <w:rPr>
          <w:rFonts w:hint="eastAsia" w:ascii="仿宋" w:hAnsi="仿宋" w:eastAsia="仿宋"/>
          <w:sz w:val="32"/>
          <w:szCs w:val="32"/>
          <w:lang w:val="en-US" w:eastAsia="zh-CN"/>
        </w:rPr>
        <w:t>.22</w:t>
      </w:r>
      <w:r>
        <w:rPr>
          <w:rFonts w:hint="eastAsia" w:ascii="仿宋" w:hAnsi="仿宋" w:eastAsia="仿宋"/>
          <w:sz w:val="32"/>
          <w:szCs w:val="32"/>
        </w:rPr>
        <w:t>%。决算数大于预算数的主要原因：</w:t>
      </w:r>
      <w:r>
        <w:rPr>
          <w:rFonts w:hint="eastAsia" w:ascii="仿宋" w:hAnsi="仿宋" w:eastAsia="仿宋"/>
          <w:color w:val="000000"/>
          <w:sz w:val="32"/>
          <w:szCs w:val="32"/>
        </w:rPr>
        <w:t>追加2021年职工正常的晋升工资。</w:t>
      </w:r>
    </w:p>
    <w:p>
      <w:pPr>
        <w:ind w:firstLine="643" w:firstLineChars="200"/>
        <w:rPr>
          <w:rFonts w:ascii="仿宋" w:hAnsi="仿宋" w:eastAsia="仿宋"/>
          <w:b/>
          <w:sz w:val="32"/>
          <w:szCs w:val="32"/>
        </w:rPr>
      </w:pPr>
      <w:r>
        <w:rPr>
          <w:rFonts w:hint="eastAsia" w:ascii="仿宋" w:hAnsi="仿宋" w:eastAsia="仿宋"/>
          <w:b/>
          <w:sz w:val="32"/>
          <w:szCs w:val="32"/>
        </w:rPr>
        <w:t>5.住房保障（类）支出住房改革支出（款）住房公积金（项）</w:t>
      </w:r>
    </w:p>
    <w:p>
      <w:pPr>
        <w:ind w:firstLine="640" w:firstLineChars="200"/>
        <w:rPr>
          <w:rFonts w:ascii="仿宋" w:hAnsi="仿宋" w:eastAsia="仿宋"/>
          <w:b/>
          <w:bCs/>
          <w:color w:val="FF0000"/>
          <w:sz w:val="32"/>
          <w:szCs w:val="32"/>
        </w:rPr>
      </w:pPr>
      <w:r>
        <w:rPr>
          <w:rFonts w:hint="eastAsia" w:ascii="仿宋" w:hAnsi="仿宋" w:eastAsia="仿宋"/>
          <w:color w:val="000000" w:themeColor="text1"/>
          <w:sz w:val="32"/>
          <w:szCs w:val="32"/>
        </w:rPr>
        <w:t>2021年年初预算为5.26万元，支出决算为5.26万元，完成年初预算的100%。</w:t>
      </w:r>
    </w:p>
    <w:p>
      <w:pPr>
        <w:ind w:firstLine="630" w:firstLineChars="196"/>
        <w:rPr>
          <w:rFonts w:ascii="仿宋" w:hAnsi="仿宋" w:eastAsia="仿宋" w:cs="黑体"/>
          <w:b/>
          <w:sz w:val="32"/>
          <w:szCs w:val="32"/>
        </w:rPr>
      </w:pPr>
      <w:r>
        <w:rPr>
          <w:rFonts w:hint="eastAsia" w:ascii="仿宋" w:hAnsi="仿宋" w:eastAsia="仿宋" w:cs="黑体"/>
          <w:b/>
          <w:bCs/>
          <w:sz w:val="32"/>
          <w:szCs w:val="32"/>
        </w:rPr>
        <w:t>六、一般公共预算财政拨款基本支出决算情况说明。</w:t>
      </w:r>
    </w:p>
    <w:p>
      <w:pPr>
        <w:tabs>
          <w:tab w:val="center" w:pos="4473"/>
        </w:tabs>
        <w:ind w:firstLine="640" w:firstLineChars="200"/>
        <w:rPr>
          <w:rFonts w:ascii="仿宋" w:hAnsi="仿宋" w:eastAsia="仿宋"/>
          <w:sz w:val="32"/>
          <w:szCs w:val="32"/>
        </w:rPr>
      </w:pPr>
      <w:r>
        <w:rPr>
          <w:rFonts w:hint="eastAsia" w:ascii="仿宋" w:hAnsi="仿宋" w:eastAsia="仿宋"/>
          <w:sz w:val="32"/>
          <w:szCs w:val="32"/>
        </w:rPr>
        <w:t>2021年度财政拨款基本支出92.75万元，其中：人员经费75.87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16.8</w:t>
      </w:r>
      <w:r>
        <w:rPr>
          <w:rFonts w:hint="eastAsia" w:ascii="仿宋" w:hAnsi="仿宋" w:eastAsia="仿宋"/>
          <w:sz w:val="32"/>
          <w:szCs w:val="32"/>
          <w:lang w:val="en-US" w:eastAsia="zh-CN"/>
        </w:rPr>
        <w:t>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1440" w:firstLineChars="450"/>
        <w:rPr>
          <w:rFonts w:ascii="仿宋" w:hAnsi="仿宋" w:eastAsia="仿宋"/>
          <w:sz w:val="32"/>
          <w:szCs w:val="32"/>
        </w:rPr>
      </w:pPr>
      <w:r>
        <w:rPr>
          <w:rFonts w:hint="eastAsia" w:ascii="仿宋" w:hAnsi="仿宋" w:eastAsia="仿宋"/>
          <w:sz w:val="32"/>
          <w:szCs w:val="32"/>
        </w:rPr>
        <w:t>2021年度政府性基金预算财政拨款支出0万元，占本年支出合计的0%。与2020年度政府性基金预算财政拨款支出数持平。本年没有发生与该表相关的收支决算数据。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1280" w:firstLineChars="400"/>
        <w:rPr>
          <w:rFonts w:ascii="仿宋" w:hAnsi="仿宋" w:eastAsia="仿宋"/>
          <w:sz w:val="32"/>
          <w:szCs w:val="32"/>
        </w:rPr>
      </w:pPr>
      <w:r>
        <w:rPr>
          <w:rFonts w:hint="eastAsia" w:ascii="仿宋" w:hAnsi="仿宋" w:eastAsia="仿宋"/>
          <w:sz w:val="32"/>
          <w:szCs w:val="32"/>
        </w:rPr>
        <w:t>2021年度政府性基金预算财政拨款支出0万元。本年没有发生与该表相关的收支决算数据。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1280" w:firstLineChars="400"/>
        <w:rPr>
          <w:rFonts w:ascii="仿宋_GB2312" w:hAnsi="ˎ̥" w:eastAsia="仿宋_GB2312"/>
          <w:sz w:val="32"/>
          <w:szCs w:val="32"/>
        </w:rPr>
      </w:pPr>
      <w:r>
        <w:rPr>
          <w:rFonts w:hint="eastAsia" w:ascii="仿宋" w:hAnsi="仿宋" w:eastAsia="仿宋"/>
          <w:sz w:val="32"/>
          <w:szCs w:val="32"/>
        </w:rPr>
        <w:t>2021年度政府性基金预算财政拨款支出年初预算为0万元，支出决算为0万元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本年没有发生与该表相关的收支决算数据。</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960" w:firstLineChars="300"/>
        <w:rPr>
          <w:rFonts w:ascii="仿宋" w:hAnsi="仿宋" w:eastAsia="仿宋"/>
          <w:sz w:val="32"/>
          <w:szCs w:val="32"/>
        </w:rPr>
      </w:pPr>
      <w:r>
        <w:rPr>
          <w:rFonts w:hint="eastAsia" w:ascii="仿宋" w:hAnsi="仿宋" w:eastAsia="仿宋"/>
          <w:sz w:val="32"/>
          <w:szCs w:val="32"/>
        </w:rPr>
        <w:t>2021年度国有资本经营预算财政拨款支出0万元占本年支出合计的0%。与2020年度国有资本经营预算财政拨款支出数持平。本年没有发生与该表相关的收支决算数据。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960" w:firstLineChars="300"/>
        <w:rPr>
          <w:rFonts w:ascii="仿宋" w:hAnsi="仿宋" w:eastAsia="仿宋"/>
          <w:sz w:val="32"/>
          <w:szCs w:val="32"/>
        </w:rPr>
      </w:pPr>
      <w:r>
        <w:rPr>
          <w:rFonts w:hint="eastAsia" w:ascii="仿宋" w:hAnsi="仿宋" w:eastAsia="仿宋"/>
          <w:sz w:val="32"/>
          <w:szCs w:val="32"/>
        </w:rPr>
        <w:t>2021年度国有资本经营预算财政拨款支出0万元。本年没有发生与该表相关的收支决算数据。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960" w:firstLineChars="300"/>
        <w:rPr>
          <w:rFonts w:ascii="仿宋" w:hAnsi="仿宋" w:eastAsia="仿宋"/>
          <w:sz w:val="32"/>
          <w:szCs w:val="32"/>
        </w:rPr>
      </w:pPr>
      <w:r>
        <w:rPr>
          <w:rFonts w:hint="eastAsia" w:ascii="仿宋" w:hAnsi="仿宋" w:eastAsia="仿宋"/>
          <w:sz w:val="32"/>
          <w:szCs w:val="32"/>
        </w:rPr>
        <w:t>2021年度国有资本经营预算财政拨款支出年初</w:t>
      </w:r>
      <w:r>
        <w:rPr>
          <w:rFonts w:hint="eastAsia" w:ascii="仿宋" w:hAnsi="仿宋" w:eastAsia="仿宋"/>
          <w:sz w:val="32"/>
          <w:szCs w:val="32"/>
          <w:lang w:val="en-US" w:eastAsia="zh-CN"/>
        </w:rPr>
        <w:t xml:space="preserve"> </w:t>
      </w:r>
      <w:r>
        <w:rPr>
          <w:rFonts w:hint="eastAsia" w:ascii="仿宋" w:hAnsi="仿宋" w:eastAsia="仿宋"/>
          <w:sz w:val="32"/>
          <w:szCs w:val="32"/>
        </w:rPr>
        <w:t>预算为0万元，支出决算为0万元。本年没有发生与该表相关的收支决算数据。</w:t>
      </w:r>
    </w:p>
    <w:p>
      <w:pPr>
        <w:ind w:firstLine="630" w:firstLineChars="196"/>
        <w:rPr>
          <w:rFonts w:asciiTheme="majorEastAsia" w:hAnsiTheme="majorEastAsia" w:eastAsiaTheme="majorEastAsia"/>
          <w:b/>
          <w:sz w:val="32"/>
          <w:szCs w:val="32"/>
        </w:rPr>
      </w:pPr>
      <w:r>
        <w:rPr>
          <w:rFonts w:hint="eastAsia" w:cs="黑体" w:asciiTheme="majorEastAsia" w:hAnsiTheme="majorEastAsia" w:eastAsiaTheme="majorEastAsia"/>
          <w:b/>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firstLineChars="200"/>
        <w:rPr>
          <w:rFonts w:ascii="仿宋" w:hAnsi="仿宋" w:eastAsia="仿宋"/>
          <w:bCs/>
          <w:sz w:val="32"/>
          <w:szCs w:val="32"/>
        </w:rPr>
      </w:pPr>
      <w:r>
        <w:rPr>
          <w:rFonts w:hint="eastAsia" w:ascii="仿宋" w:hAnsi="仿宋" w:eastAsia="仿宋"/>
          <w:sz w:val="32"/>
          <w:szCs w:val="32"/>
        </w:rPr>
        <w:t xml:space="preserve"> 2021年度一般公共预算财政拨款“三公”经费支出预算为3.75万元，支出决算为2.94万元，完成预算的78.4%。</w:t>
      </w:r>
      <w:r>
        <w:rPr>
          <w:rFonts w:hint="eastAsia" w:ascii="仿宋" w:hAnsi="仿宋" w:eastAsia="仿宋"/>
          <w:bCs/>
          <w:sz w:val="32"/>
          <w:szCs w:val="32"/>
        </w:rPr>
        <w:t>主要原因是单位</w:t>
      </w:r>
      <w:r>
        <w:rPr>
          <w:rFonts w:ascii="仿宋" w:hAnsi="仿宋" w:eastAsia="仿宋"/>
          <w:bCs/>
          <w:sz w:val="32"/>
          <w:szCs w:val="32"/>
        </w:rPr>
        <w:t>加强公车管理，</w:t>
      </w:r>
      <w:r>
        <w:rPr>
          <w:rFonts w:hint="eastAsia" w:ascii="仿宋" w:hAnsi="仿宋" w:eastAsia="仿宋"/>
          <w:bCs/>
          <w:sz w:val="32"/>
          <w:szCs w:val="32"/>
        </w:rPr>
        <w:t>严格控制公务用车运行</w:t>
      </w:r>
      <w:r>
        <w:rPr>
          <w:rFonts w:ascii="仿宋" w:hAnsi="仿宋" w:eastAsia="仿宋"/>
          <w:bCs/>
          <w:sz w:val="32"/>
          <w:szCs w:val="32"/>
        </w:rPr>
        <w:t>成本</w:t>
      </w:r>
      <w:r>
        <w:rPr>
          <w:rFonts w:hint="eastAsia" w:ascii="仿宋" w:hAnsi="仿宋" w:eastAsia="仿宋"/>
          <w:bCs/>
          <w:sz w:val="32"/>
          <w:szCs w:val="32"/>
        </w:rPr>
        <w:t>。</w:t>
      </w:r>
    </w:p>
    <w:p>
      <w:pPr>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ind w:firstLine="640" w:firstLineChars="200"/>
        <w:rPr>
          <w:rFonts w:ascii="仿宋" w:hAnsi="仿宋" w:eastAsia="仿宋"/>
          <w:sz w:val="32"/>
          <w:szCs w:val="32"/>
        </w:rPr>
      </w:pPr>
      <w:r>
        <w:rPr>
          <w:rFonts w:hint="eastAsia" w:ascii="仿宋" w:hAnsi="仿宋" w:eastAsia="仿宋"/>
          <w:sz w:val="32"/>
          <w:szCs w:val="32"/>
        </w:rPr>
        <w:t>2021年度一般公共预算财政拨款“三公”经费支出决算中，因公出国（境）费支出决算0万元，占0%；公务用车购置及运行费支出决算2.94万元，占78.4%；公务接待费支出决算0万元，占0%。具体情况如下：</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1.因公出国（境）费支出0.00万元</w:t>
      </w:r>
      <w:r>
        <w:rPr>
          <w:rFonts w:hint="eastAsia" w:ascii="仿宋" w:hAnsi="仿宋" w:eastAsia="仿宋"/>
          <w:sz w:val="32"/>
          <w:szCs w:val="32"/>
        </w:rPr>
        <w:t>。全年安排因公出国（境）团组0个，因公出国（境）0人次。</w:t>
      </w:r>
    </w:p>
    <w:p>
      <w:pPr>
        <w:spacing w:before="100" w:beforeAutospacing="1" w:after="100" w:afterAutospacing="1"/>
        <w:rPr>
          <w:rFonts w:ascii="仿宋" w:hAnsi="仿宋" w:eastAsia="仿宋"/>
          <w:sz w:val="32"/>
          <w:szCs w:val="32"/>
        </w:rPr>
      </w:pPr>
      <w:r>
        <w:rPr>
          <w:rFonts w:hint="eastAsia" w:ascii="仿宋" w:hAnsi="仿宋" w:eastAsia="仿宋"/>
          <w:b/>
          <w:sz w:val="32"/>
          <w:szCs w:val="32"/>
        </w:rPr>
        <w:t xml:space="preserve">    2.公务用车购置及运行费支出2.94万元</w:t>
      </w:r>
      <w:r>
        <w:rPr>
          <w:rFonts w:hint="eastAsia" w:ascii="仿宋" w:hAnsi="仿宋" w:eastAsia="仿宋"/>
          <w:sz w:val="32"/>
          <w:szCs w:val="32"/>
        </w:rPr>
        <w:t>。其中：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公务用车购置支出0.00万元</w:t>
      </w:r>
      <w:r>
        <w:rPr>
          <w:rFonts w:hint="eastAsia" w:ascii="仿宋" w:hAnsi="仿宋" w:eastAsia="仿宋"/>
          <w:sz w:val="32"/>
          <w:szCs w:val="32"/>
        </w:rPr>
        <w:t>，全年购置公务用车0辆，年末公务用车保有量1辆。</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公务用车运行维护费支出2.94万元，</w:t>
      </w:r>
      <w:r>
        <w:rPr>
          <w:rFonts w:hint="eastAsia" w:ascii="仿宋" w:hAnsi="仿宋" w:eastAsia="仿宋"/>
          <w:sz w:val="32"/>
          <w:szCs w:val="32"/>
        </w:rPr>
        <w:t>主要用于燃料费、保险费、维修费等。</w:t>
      </w:r>
    </w:p>
    <w:p>
      <w:pPr>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比预算数减少0.81</w:t>
      </w:r>
      <w:r>
        <w:rPr>
          <w:rFonts w:hint="eastAsia" w:ascii="仿宋" w:hAnsi="仿宋" w:eastAsia="仿宋"/>
          <w:bCs/>
          <w:sz w:val="32"/>
          <w:szCs w:val="32"/>
        </w:rPr>
        <w:t>万元，下降21.6%。主要原因是单位</w:t>
      </w:r>
      <w:r>
        <w:rPr>
          <w:rFonts w:ascii="仿宋" w:hAnsi="仿宋" w:eastAsia="仿宋"/>
          <w:bCs/>
          <w:sz w:val="32"/>
          <w:szCs w:val="32"/>
        </w:rPr>
        <w:t>加强公车管理，</w:t>
      </w:r>
      <w:r>
        <w:rPr>
          <w:rFonts w:hint="eastAsia" w:ascii="仿宋" w:hAnsi="仿宋" w:eastAsia="仿宋"/>
          <w:bCs/>
          <w:sz w:val="32"/>
          <w:szCs w:val="32"/>
        </w:rPr>
        <w:t>严格控制公务用车运行</w:t>
      </w:r>
      <w:r>
        <w:rPr>
          <w:rFonts w:ascii="仿宋" w:hAnsi="仿宋" w:eastAsia="仿宋"/>
          <w:bCs/>
          <w:sz w:val="32"/>
          <w:szCs w:val="32"/>
        </w:rPr>
        <w:t>成本</w:t>
      </w:r>
      <w:r>
        <w:rPr>
          <w:rFonts w:hint="eastAsia" w:ascii="仿宋" w:hAnsi="仿宋" w:eastAsia="仿宋"/>
          <w:bCs/>
          <w:sz w:val="32"/>
          <w:szCs w:val="32"/>
        </w:rPr>
        <w:t>。</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3.公务接待费支出</w:t>
      </w:r>
      <w:r>
        <w:rPr>
          <w:rFonts w:hint="eastAsia" w:ascii="仿宋" w:hAnsi="仿宋" w:eastAsia="仿宋"/>
          <w:sz w:val="32"/>
          <w:szCs w:val="32"/>
        </w:rPr>
        <w:t>0.00万元，其中：</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国内接待费支出0万元</w:t>
      </w:r>
      <w:r>
        <w:rPr>
          <w:rFonts w:hint="eastAsia" w:ascii="仿宋" w:hAnsi="仿宋" w:eastAsia="仿宋"/>
          <w:sz w:val="32"/>
          <w:szCs w:val="32"/>
        </w:rPr>
        <w:t>，国内公务接待0批次，接待0人次。</w:t>
      </w:r>
    </w:p>
    <w:p>
      <w:pPr>
        <w:spacing w:before="100" w:beforeAutospacing="1" w:after="100" w:afterAutospacing="1"/>
        <w:ind w:firstLine="643" w:firstLineChars="200"/>
        <w:rPr>
          <w:rFonts w:ascii="仿宋" w:hAnsi="仿宋" w:eastAsia="仿宋"/>
          <w:sz w:val="32"/>
          <w:szCs w:val="32"/>
        </w:rPr>
      </w:pPr>
      <w:r>
        <w:rPr>
          <w:rFonts w:hint="eastAsia" w:ascii="仿宋" w:hAnsi="仿宋" w:eastAsia="仿宋"/>
          <w:b/>
          <w:sz w:val="32"/>
          <w:szCs w:val="32"/>
        </w:rPr>
        <w:t>国（境）外接待费支出0万元</w:t>
      </w:r>
      <w:r>
        <w:rPr>
          <w:rFonts w:hint="eastAsia" w:ascii="仿宋" w:hAnsi="仿宋" w:eastAsia="仿宋"/>
          <w:sz w:val="32"/>
          <w:szCs w:val="32"/>
        </w:rPr>
        <w:t>，国（境）外公务接待0批次，接待0人次。</w:t>
      </w:r>
    </w:p>
    <w:p>
      <w:pPr>
        <w:ind w:firstLine="627" w:firstLineChars="196"/>
        <w:rPr>
          <w:rFonts w:ascii="仿宋" w:hAnsi="仿宋" w:eastAsia="仿宋"/>
          <w:sz w:val="32"/>
          <w:szCs w:val="32"/>
        </w:rPr>
      </w:pPr>
      <w:r>
        <w:rPr>
          <w:rFonts w:hint="eastAsia" w:ascii="仿宋" w:hAnsi="仿宋" w:eastAsia="仿宋"/>
          <w:sz w:val="32"/>
          <w:szCs w:val="32"/>
        </w:rPr>
        <w:t>公务接待费支出决算数与预算数持平。</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 w:hAnsi="仿宋" w:eastAsia="仿宋"/>
          <w:sz w:val="32"/>
          <w:szCs w:val="32"/>
        </w:rPr>
      </w:pPr>
      <w:r>
        <w:rPr>
          <w:rFonts w:hint="eastAsia" w:ascii="仿宋" w:hAnsi="仿宋" w:eastAsia="仿宋"/>
          <w:sz w:val="32"/>
          <w:szCs w:val="32"/>
        </w:rPr>
        <w:t>2021年度政府性基金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 w:hAnsi="仿宋" w:eastAsia="仿宋"/>
          <w:sz w:val="32"/>
          <w:szCs w:val="32"/>
        </w:rPr>
      </w:pPr>
      <w:r>
        <w:rPr>
          <w:rFonts w:hint="eastAsia" w:ascii="仿宋" w:hAnsi="仿宋" w:eastAsia="仿宋"/>
          <w:sz w:val="32"/>
          <w:szCs w:val="32"/>
        </w:rPr>
        <w:t>2021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根据财政预算绩效管理要求，我单位组织对2021年度一般公共预算项目支出全面开展绩效自评。</w:t>
      </w:r>
      <w:r>
        <w:rPr>
          <w:rFonts w:hint="eastAsia" w:ascii="仿宋" w:hAnsi="仿宋" w:eastAsia="仿宋"/>
          <w:sz w:val="32"/>
          <w:szCs w:val="32"/>
          <w:lang w:val="en-US" w:eastAsia="zh-CN"/>
        </w:rPr>
        <w:t>我单位无1000万元以上的重点项目，本次</w:t>
      </w:r>
      <w:r>
        <w:rPr>
          <w:rFonts w:hint="eastAsia" w:ascii="仿宋" w:hAnsi="仿宋" w:eastAsia="仿宋"/>
          <w:sz w:val="32"/>
          <w:szCs w:val="32"/>
        </w:rPr>
        <w:t>自评项目1个，</w:t>
      </w:r>
      <w:r>
        <w:rPr>
          <w:rFonts w:hint="eastAsia" w:ascii="仿宋" w:hAnsi="仿宋" w:eastAsia="仿宋" w:cs="宋体"/>
          <w:sz w:val="32"/>
          <w:szCs w:val="32"/>
        </w:rPr>
        <w:t>设施维护与改造</w:t>
      </w:r>
      <w:r>
        <w:rPr>
          <w:rFonts w:hint="eastAsia" w:ascii="仿宋" w:hAnsi="仿宋" w:eastAsia="仿宋"/>
          <w:sz w:val="32"/>
          <w:szCs w:val="32"/>
        </w:rPr>
        <w:t>项目，涉及资金202.43万元，自评覆盖率达到100%。</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从评价情况来看，我所完成了对项目概况，项目绩效总目标、绩效指标情况，项目基本性质、用途和主要内容涉及的范围，</w:t>
      </w:r>
      <w:r>
        <w:rPr>
          <w:rFonts w:hint="eastAsia" w:ascii="仿宋" w:hAnsi="仿宋" w:eastAsia="仿宋" w:cs="宋体"/>
          <w:sz w:val="32"/>
          <w:szCs w:val="32"/>
        </w:rPr>
        <w:t>项目资金使用及管理情况以及项目组织实施情况的自评工作。项目的预算执行率高达100%，项目的投入、过程、产出及效果都达到项目绩效总目标。</w:t>
      </w:r>
    </w:p>
    <w:p>
      <w:pPr>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2021年度一般公共预算整体支出全面开展绩效自评，涉及资金295.18万元。从评价情况来看，我所对单位基本情况、项目和政策完成情况、财政预算资金使用和管理情况、预算执行情况以及项目的投入和产出效果情况等都做了全面分析和综合评价工作，整体工作达到预期总目标；整体预算执行率</w:t>
      </w:r>
      <w:r>
        <w:rPr>
          <w:rFonts w:hint="eastAsia" w:ascii="仿宋" w:hAnsi="仿宋" w:eastAsia="仿宋"/>
          <w:sz w:val="32"/>
          <w:szCs w:val="32"/>
          <w:lang w:val="en-US" w:eastAsia="zh-CN"/>
        </w:rPr>
        <w:t>99.9</w:t>
      </w:r>
      <w:r>
        <w:rPr>
          <w:rFonts w:hint="eastAsia" w:ascii="仿宋" w:hAnsi="仿宋" w:eastAsia="仿宋"/>
          <w:sz w:val="32"/>
          <w:szCs w:val="32"/>
        </w:rPr>
        <w:t>%，资金的使用控制在预算范围里。对评价过程中发现的一些问题，提出建议和整改措施，为以后切实提高财政资金使用效益，强化预算支出的责任和效率，顺利开展和完成各项工作提供依据.</w:t>
      </w:r>
    </w:p>
    <w:p>
      <w:pPr>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ind w:firstLine="640" w:firstLineChars="200"/>
        <w:rPr>
          <w:rFonts w:ascii="仿宋" w:hAnsi="仿宋" w:eastAsia="仿宋"/>
          <w:sz w:val="32"/>
          <w:szCs w:val="32"/>
        </w:rPr>
      </w:pPr>
      <w:r>
        <w:rPr>
          <w:rFonts w:hint="eastAsia" w:ascii="仿宋" w:hAnsi="仿宋" w:eastAsia="仿宋"/>
          <w:sz w:val="32"/>
          <w:szCs w:val="32"/>
        </w:rPr>
        <w:t>我单位今年在省本级部门决算中反映</w:t>
      </w:r>
      <w:r>
        <w:rPr>
          <w:rFonts w:hint="eastAsia" w:ascii="仿宋" w:hAnsi="仿宋" w:eastAsia="仿宋" w:cs="宋体"/>
          <w:sz w:val="32"/>
          <w:szCs w:val="32"/>
        </w:rPr>
        <w:t>设施维护与改造</w:t>
      </w:r>
      <w:r>
        <w:rPr>
          <w:rFonts w:hint="eastAsia" w:ascii="仿宋" w:hAnsi="仿宋" w:eastAsia="仿宋"/>
          <w:sz w:val="32"/>
          <w:szCs w:val="32"/>
        </w:rPr>
        <w:t>项目绩效自评结果。</w:t>
      </w:r>
    </w:p>
    <w:p>
      <w:pPr>
        <w:pStyle w:val="2"/>
        <w:spacing w:line="360" w:lineRule="auto"/>
        <w:ind w:firstLine="640" w:firstLineChars="200"/>
        <w:rPr>
          <w:rFonts w:ascii="仿宋" w:hAnsi="仿宋" w:eastAsia="仿宋" w:cs="仿宋"/>
          <w:sz w:val="32"/>
          <w:szCs w:val="32"/>
        </w:rPr>
      </w:pPr>
      <w:r>
        <w:rPr>
          <w:rFonts w:hint="eastAsia" w:ascii="仿宋" w:hAnsi="仿宋" w:eastAsia="仿宋" w:cs="宋体"/>
          <w:sz w:val="32"/>
          <w:szCs w:val="32"/>
        </w:rPr>
        <w:t>设施维护与改造</w:t>
      </w:r>
      <w:r>
        <w:rPr>
          <w:rFonts w:hint="eastAsia" w:ascii="仿宋" w:hAnsi="仿宋" w:eastAsia="仿宋"/>
          <w:sz w:val="32"/>
          <w:szCs w:val="32"/>
        </w:rPr>
        <w:t>项目绩效自评综述：根据年初设定的绩效目标，项目自评得分为9</w:t>
      </w:r>
      <w:r>
        <w:rPr>
          <w:rFonts w:hint="eastAsia" w:ascii="仿宋" w:hAnsi="仿宋" w:eastAsia="仿宋"/>
          <w:sz w:val="32"/>
          <w:szCs w:val="32"/>
          <w:lang w:val="en-US" w:eastAsia="zh-CN"/>
        </w:rPr>
        <w:t>7</w:t>
      </w:r>
      <w:r>
        <w:rPr>
          <w:rFonts w:hint="eastAsia" w:ascii="仿宋" w:hAnsi="仿宋" w:eastAsia="仿宋"/>
          <w:sz w:val="32"/>
          <w:szCs w:val="32"/>
        </w:rPr>
        <w:t>分。全年预算数为</w:t>
      </w:r>
      <w:r>
        <w:rPr>
          <w:rFonts w:hint="eastAsia" w:ascii="仿宋" w:hAnsi="仿宋" w:eastAsia="仿宋"/>
          <w:color w:val="000000" w:themeColor="text1"/>
          <w:sz w:val="32"/>
          <w:szCs w:val="32"/>
        </w:rPr>
        <w:t>202.43</w:t>
      </w:r>
      <w:r>
        <w:rPr>
          <w:rFonts w:hint="eastAsia" w:ascii="仿宋" w:hAnsi="仿宋" w:eastAsia="仿宋"/>
          <w:sz w:val="32"/>
          <w:szCs w:val="32"/>
        </w:rPr>
        <w:t>万元，执行数为</w:t>
      </w:r>
      <w:r>
        <w:rPr>
          <w:rFonts w:hint="eastAsia" w:ascii="仿宋" w:hAnsi="仿宋" w:eastAsia="仿宋"/>
          <w:color w:val="000000" w:themeColor="text1"/>
          <w:sz w:val="32"/>
          <w:szCs w:val="32"/>
        </w:rPr>
        <w:t>202.43</w:t>
      </w:r>
      <w:r>
        <w:rPr>
          <w:rFonts w:hint="eastAsia" w:ascii="仿宋" w:hAnsi="仿宋" w:eastAsia="仿宋"/>
          <w:sz w:val="32"/>
          <w:szCs w:val="32"/>
        </w:rPr>
        <w:t>万元，完成预算的100%。项目绩效目标完成情况：1、完成</w:t>
      </w:r>
      <w:r>
        <w:rPr>
          <w:rFonts w:hint="eastAsia" w:ascii="仿宋" w:hAnsi="仿宋" w:eastAsia="仿宋" w:cs="仿宋"/>
          <w:color w:val="000000" w:themeColor="text1"/>
          <w:sz w:val="32"/>
          <w:szCs w:val="32"/>
        </w:rPr>
        <w:t>17</w:t>
      </w:r>
      <w:r>
        <w:rPr>
          <w:rFonts w:hint="eastAsia" w:ascii="仿宋" w:hAnsi="仿宋" w:eastAsia="仿宋" w:cs="仿宋"/>
          <w:sz w:val="32"/>
          <w:szCs w:val="32"/>
        </w:rPr>
        <w:t>座航标的养护工作，航标维护正常率100%以上，维护发光率99%。2、完成</w:t>
      </w:r>
      <w:r>
        <w:rPr>
          <w:rFonts w:hint="eastAsia" w:ascii="仿宋" w:hAnsi="仿宋" w:eastAsia="仿宋" w:cs="仿宋"/>
          <w:kern w:val="0"/>
          <w:sz w:val="32"/>
          <w:szCs w:val="32"/>
        </w:rPr>
        <w:t>航道保护里程达4</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.1公里,在建项目监管里程4</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.1公里。</w:t>
      </w:r>
      <w:r>
        <w:rPr>
          <w:rFonts w:hint="eastAsia" w:ascii="仿宋" w:hAnsi="仿宋" w:eastAsia="仿宋" w:cs="仿宋"/>
          <w:sz w:val="32"/>
          <w:szCs w:val="32"/>
        </w:rPr>
        <w:t>巡查出勤率98%；航道监管出勤率达98%以上</w:t>
      </w:r>
      <w:r>
        <w:rPr>
          <w:rFonts w:hint="eastAsia" w:ascii="仿宋" w:hAnsi="仿宋" w:eastAsia="仿宋" w:cs="仿宋"/>
          <w:kern w:val="0"/>
          <w:sz w:val="32"/>
          <w:szCs w:val="32"/>
        </w:rPr>
        <w:t>。</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主要存在的问题：</w:t>
      </w:r>
      <w:r>
        <w:rPr>
          <w:rFonts w:hint="eastAsia" w:ascii="仿宋" w:hAnsi="仿宋" w:eastAsia="仿宋"/>
          <w:sz w:val="32"/>
          <w:szCs w:val="32"/>
        </w:rPr>
        <w:t>（1）、管理人员、财务人员业务水平有待提高；（2）、职工老龄化又一岗多职胜任工作能力有限；（3）、航道维护资金缺口较大。</w:t>
      </w:r>
    </w:p>
    <w:p>
      <w:pPr>
        <w:spacing w:line="560" w:lineRule="exact"/>
        <w:ind w:firstLine="480" w:firstLineChars="150"/>
        <w:rPr>
          <w:rFonts w:ascii="仿宋" w:hAnsi="仿宋" w:eastAsia="仿宋"/>
          <w:sz w:val="32"/>
          <w:szCs w:val="32"/>
        </w:rPr>
      </w:pPr>
      <w:r>
        <w:rPr>
          <w:rFonts w:hint="eastAsia" w:ascii="仿宋" w:hAnsi="仿宋" w:eastAsia="仿宋" w:cs="宋体"/>
          <w:sz w:val="32"/>
          <w:szCs w:val="32"/>
        </w:rPr>
        <w:t>整改措施及建议：</w:t>
      </w:r>
      <w:r>
        <w:rPr>
          <w:rFonts w:hint="eastAsia" w:ascii="仿宋" w:hAnsi="仿宋" w:eastAsia="仿宋"/>
          <w:sz w:val="32"/>
          <w:szCs w:val="32"/>
        </w:rPr>
        <w:t>（1）加强业务学习与培训，航道工作人员要认真学习《航道法》，并通过相关的培训，以法律法规来指导航道工作；财务人员应积极参加财务方面的业务培训，多与兄弟单位财务人员学习交流，不断提高自己的业务水平。(2)增加航道维护资金投入。多年来，我省航道养护资金虽然有所增长，但仍无法满足航道养护建设需要，没有专门的航道巡查船只，执法车辆车况老旧，车况较差，航道观测设备缺乏，等等，需要投入较多资金予以解决。</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我单位无此项内容。我们是三级单位，不开展部门绩效评价。</w:t>
      </w:r>
    </w:p>
    <w:p>
      <w:pPr>
        <w:ind w:firstLine="643" w:firstLineChars="200"/>
        <w:rPr>
          <w:rFonts w:ascii="仿宋" w:hAnsi="仿宋" w:eastAsia="仿宋" w:cs="黑体"/>
          <w:b/>
          <w:bCs/>
          <w:sz w:val="32"/>
          <w:szCs w:val="32"/>
        </w:rPr>
      </w:pPr>
      <w:r>
        <w:rPr>
          <w:rFonts w:hint="eastAsia" w:ascii="仿宋" w:hAnsi="仿宋" w:eastAsia="仿宋" w:cs="黑体"/>
          <w:b/>
          <w:bCs/>
          <w:sz w:val="32"/>
          <w:szCs w:val="32"/>
        </w:rPr>
        <w:t>十三、其他重要事项情况说明。</w:t>
      </w:r>
    </w:p>
    <w:p>
      <w:pPr>
        <w:pStyle w:val="13"/>
        <w:numPr>
          <w:ilvl w:val="0"/>
          <w:numId w:val="1"/>
        </w:numPr>
        <w:ind w:firstLineChars="0"/>
        <w:rPr>
          <w:rFonts w:ascii="仿宋" w:hAnsi="仿宋" w:eastAsia="仿宋" w:cs="楷体"/>
          <w:b/>
          <w:sz w:val="32"/>
          <w:szCs w:val="32"/>
        </w:rPr>
      </w:pPr>
      <w:bookmarkStart w:id="95" w:name="_Toc32639_WPSOffice_Level2"/>
      <w:bookmarkStart w:id="96" w:name="_Toc15565_WPSOffice_Level2"/>
      <w:bookmarkStart w:id="97" w:name="_Toc18325_WPSOffice_Level2"/>
      <w:bookmarkStart w:id="98" w:name="_Toc23598_WPSOffice_Level2"/>
      <w:bookmarkStart w:id="99" w:name="_Toc5978_WPSOffice_Level2"/>
      <w:bookmarkStart w:id="100" w:name="_Toc15262_WPSOffice_Level2"/>
      <w:r>
        <w:rPr>
          <w:rFonts w:hint="eastAsia" w:ascii="仿宋" w:hAnsi="仿宋" w:eastAsia="仿宋" w:cs="楷体"/>
          <w:b/>
          <w:sz w:val="32"/>
          <w:szCs w:val="32"/>
        </w:rPr>
        <w:t>机关运行经费支出情况。</w:t>
      </w:r>
      <w:bookmarkEnd w:id="95"/>
      <w:bookmarkEnd w:id="96"/>
      <w:bookmarkEnd w:id="97"/>
      <w:bookmarkEnd w:id="98"/>
      <w:bookmarkEnd w:id="99"/>
      <w:bookmarkEnd w:id="100"/>
    </w:p>
    <w:p>
      <w:pPr>
        <w:ind w:left="643"/>
        <w:rPr>
          <w:rFonts w:ascii="仿宋" w:hAnsi="仿宋" w:eastAsia="仿宋" w:cs="楷体"/>
          <w:sz w:val="32"/>
          <w:szCs w:val="32"/>
        </w:rPr>
      </w:pPr>
      <w:r>
        <w:rPr>
          <w:rFonts w:hint="eastAsia" w:ascii="仿宋" w:hAnsi="仿宋" w:eastAsia="仿宋" w:cs="楷体"/>
          <w:sz w:val="32"/>
          <w:szCs w:val="32"/>
        </w:rPr>
        <w:t>无</w:t>
      </w:r>
    </w:p>
    <w:p>
      <w:pPr>
        <w:ind w:firstLine="643" w:firstLineChars="200"/>
        <w:rPr>
          <w:rFonts w:ascii="仿宋" w:hAnsi="仿宋" w:eastAsia="仿宋" w:cs="楷体"/>
          <w:b/>
          <w:sz w:val="32"/>
          <w:szCs w:val="32"/>
        </w:rPr>
      </w:pPr>
      <w:bookmarkStart w:id="101" w:name="_Toc13084_WPSOffice_Level2"/>
      <w:bookmarkStart w:id="102" w:name="_Toc32689_WPSOffice_Level2"/>
      <w:bookmarkStart w:id="103" w:name="_Toc25333_WPSOffice_Level2"/>
      <w:bookmarkStart w:id="104" w:name="_Toc3131_WPSOffice_Level2"/>
      <w:bookmarkStart w:id="105" w:name="_Toc23966_WPSOffice_Level2"/>
      <w:bookmarkStart w:id="106" w:name="_Toc30383_WPSOffice_Level2"/>
      <w:r>
        <w:rPr>
          <w:rFonts w:hint="eastAsia" w:ascii="仿宋" w:hAnsi="仿宋" w:eastAsia="仿宋" w:cs="楷体"/>
          <w:b/>
          <w:sz w:val="32"/>
          <w:szCs w:val="32"/>
        </w:rPr>
        <w:t>（二）政府采购支出情况。</w:t>
      </w:r>
      <w:bookmarkEnd w:id="101"/>
      <w:bookmarkEnd w:id="102"/>
      <w:bookmarkEnd w:id="103"/>
      <w:bookmarkEnd w:id="104"/>
      <w:bookmarkEnd w:id="105"/>
      <w:bookmarkEnd w:id="106"/>
    </w:p>
    <w:p>
      <w:pPr>
        <w:ind w:firstLine="640" w:firstLineChars="200"/>
        <w:rPr>
          <w:rFonts w:ascii="仿宋" w:hAnsi="仿宋" w:eastAsia="仿宋" w:cs="楷体"/>
          <w:b/>
          <w:sz w:val="32"/>
          <w:szCs w:val="32"/>
        </w:rPr>
      </w:pPr>
      <w:r>
        <w:rPr>
          <w:rFonts w:hint="eastAsia" w:ascii="仿宋" w:hAnsi="仿宋" w:eastAsia="仿宋"/>
          <w:b w:val="0"/>
          <w:bCs w:val="0"/>
          <w:sz w:val="32"/>
          <w:szCs w:val="32"/>
        </w:rPr>
        <w:t>2021年度我单位政府采购支出总额0万元，其中：政府采购货物支出0万元、政府采购工程支出0万元、政府采购服务支出0万元。授予中小企业合同金额0万元。</w:t>
      </w:r>
    </w:p>
    <w:p>
      <w:pPr>
        <w:ind w:firstLine="643" w:firstLineChars="200"/>
        <w:rPr>
          <w:rFonts w:ascii="仿宋" w:hAnsi="仿宋" w:eastAsia="仿宋" w:cs="楷体"/>
          <w:b/>
          <w:sz w:val="32"/>
          <w:szCs w:val="32"/>
        </w:rPr>
      </w:pPr>
      <w:bookmarkStart w:id="107" w:name="_Toc15129_WPSOffice_Level2"/>
      <w:bookmarkStart w:id="108" w:name="_Toc527_WPSOffice_Level2"/>
      <w:bookmarkStart w:id="109" w:name="_Toc10902_WPSOffice_Level2"/>
      <w:bookmarkStart w:id="110" w:name="_Toc29584_WPSOffice_Level2"/>
      <w:bookmarkStart w:id="111" w:name="_Toc6016_WPSOffice_Level2"/>
      <w:bookmarkStart w:id="112" w:name="_Toc19989_WPSOffice_Level2"/>
      <w:r>
        <w:rPr>
          <w:rFonts w:hint="eastAsia" w:ascii="仿宋" w:hAnsi="仿宋" w:eastAsia="仿宋" w:cs="楷体"/>
          <w:b/>
          <w:sz w:val="32"/>
          <w:szCs w:val="32"/>
        </w:rPr>
        <w:t>（三）国有资产占用情况。</w:t>
      </w:r>
      <w:bookmarkEnd w:id="107"/>
      <w:bookmarkEnd w:id="108"/>
      <w:bookmarkEnd w:id="109"/>
      <w:bookmarkEnd w:id="110"/>
      <w:bookmarkEnd w:id="111"/>
      <w:bookmarkEnd w:id="112"/>
    </w:p>
    <w:p>
      <w:pPr>
        <w:spacing w:line="578" w:lineRule="exact"/>
        <w:ind w:firstLine="640" w:firstLineChars="200"/>
        <w:rPr>
          <w:rFonts w:ascii="仿宋" w:hAnsi="仿宋" w:eastAsia="仿宋"/>
          <w:sz w:val="32"/>
          <w:szCs w:val="32"/>
        </w:rPr>
      </w:pPr>
      <w:r>
        <w:rPr>
          <w:rFonts w:hint="eastAsia" w:ascii="仿宋" w:hAnsi="仿宋" w:eastAsia="仿宋"/>
          <w:sz w:val="32"/>
          <w:szCs w:val="32"/>
        </w:rPr>
        <w:t>截至2021年12月31日，本单位占用房屋面积0平方米，其中：办公用房0平方米，业务用房0平方米，其他（不含构筑物）0平方米。</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共有车辆1辆，其中：从车辆种类说明：轿车0辆、越野车0辆、小型载客汽车0辆、大中型载客汽车0辆、其他车型1辆，其他车型主要是小型载客汽车1辆；从车辆使用情况说明：副部（省）级及以上领导用车0辆、主要领导干部用车0辆、机要通信用车0辆、应急保障用车0辆、执法执勤用车0辆、特种专业技术用车0辆、离退休干部用车0辆、其他用车1辆。</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年末在建工程0万元。</w:t>
      </w:r>
    </w:p>
    <w:p>
      <w:pPr>
        <w:jc w:val="center"/>
        <w:rPr>
          <w:rFonts w:ascii="仿宋" w:hAnsi="仿宋" w:eastAsia="仿宋"/>
          <w:sz w:val="32"/>
          <w:szCs w:val="32"/>
        </w:rPr>
      </w:pPr>
      <w:bookmarkStart w:id="113" w:name="_Toc8808_WPSOffice_Level1"/>
      <w:bookmarkStart w:id="114" w:name="_Toc8874_WPSOffice_Level1"/>
      <w:bookmarkStart w:id="115" w:name="_Toc11039_WPSOffice_Level1"/>
      <w:bookmarkStart w:id="116" w:name="_Toc4398_WPSOffice_Level1"/>
      <w:bookmarkStart w:id="117" w:name="_Toc15425_WPSOffice_Level1"/>
      <w:bookmarkStart w:id="118" w:name="_Toc17580_WPSOffice_Level1"/>
    </w:p>
    <w:p>
      <w:pPr>
        <w:jc w:val="center"/>
        <w:rPr>
          <w:rFonts w:hint="eastAsia" w:ascii="仿宋" w:hAnsi="仿宋" w:eastAsia="仿宋"/>
          <w:sz w:val="32"/>
          <w:szCs w:val="32"/>
        </w:rPr>
      </w:pPr>
      <w:r>
        <w:rPr>
          <w:rFonts w:hint="eastAsia" w:ascii="黑体" w:hAnsi="黑体" w:eastAsia="黑体"/>
          <w:b/>
          <w:sz w:val="32"/>
          <w:szCs w:val="32"/>
        </w:rPr>
        <w:t>第四部分  名词解释</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财政拨款收入：指同级政府财政部门当年拨付的各类财政拨款。</w:t>
      </w:r>
    </w:p>
    <w:p>
      <w:pPr>
        <w:ind w:firstLine="640" w:firstLineChars="200"/>
        <w:rPr>
          <w:rFonts w:hint="eastAsia" w:ascii="仿宋" w:hAnsi="仿宋" w:eastAsia="仿宋"/>
          <w:sz w:val="32"/>
          <w:szCs w:val="32"/>
        </w:rPr>
      </w:pPr>
      <w:r>
        <w:rPr>
          <w:rFonts w:hint="eastAsia" w:ascii="仿宋" w:hAnsi="仿宋" w:eastAsia="仿宋"/>
          <w:sz w:val="32"/>
          <w:szCs w:val="32"/>
        </w:rPr>
        <w:t>二、上级补助收入：指事业单位从主管部门和上级单位取得的非财政补助收入。</w:t>
      </w:r>
    </w:p>
    <w:p>
      <w:pPr>
        <w:ind w:firstLine="640" w:firstLineChars="200"/>
        <w:rPr>
          <w:rFonts w:hint="eastAsia" w:ascii="仿宋" w:hAnsi="仿宋" w:eastAsia="仿宋"/>
          <w:sz w:val="32"/>
          <w:szCs w:val="32"/>
        </w:rPr>
      </w:pPr>
      <w:r>
        <w:rPr>
          <w:rFonts w:hint="eastAsia" w:ascii="仿宋" w:hAnsi="仿宋" w:eastAsia="仿宋"/>
          <w:sz w:val="32"/>
          <w:szCs w:val="32"/>
        </w:rPr>
        <w:t>三、事业收入：指事业单位开展专业业务活动及辅助活动取得的收入。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四、经营收入：指事业单位在专业业务活动及其辅助活动之外开展非独立核算经营活动取得的收入。</w:t>
      </w:r>
    </w:p>
    <w:p>
      <w:pPr>
        <w:ind w:firstLine="640" w:firstLineChars="200"/>
        <w:rPr>
          <w:rFonts w:hint="eastAsia" w:ascii="仿宋" w:hAnsi="仿宋" w:eastAsia="仿宋"/>
          <w:sz w:val="32"/>
          <w:szCs w:val="32"/>
        </w:rPr>
      </w:pPr>
      <w:r>
        <w:rPr>
          <w:rFonts w:hint="eastAsia" w:ascii="仿宋" w:hAnsi="仿宋" w:eastAsia="仿宋"/>
          <w:sz w:val="32"/>
          <w:szCs w:val="32"/>
        </w:rPr>
        <w:t>五、附属单位上缴收入：指事业单位取得附属独立核算单位根据有关规定上缴的收入。</w:t>
      </w:r>
    </w:p>
    <w:p>
      <w:pPr>
        <w:ind w:firstLine="640" w:firstLineChars="200"/>
        <w:rPr>
          <w:rFonts w:hint="eastAsia" w:ascii="仿宋" w:hAnsi="仿宋" w:eastAsia="仿宋"/>
          <w:sz w:val="32"/>
          <w:szCs w:val="32"/>
        </w:rPr>
      </w:pPr>
      <w:r>
        <w:rPr>
          <w:rFonts w:hint="eastAsia" w:ascii="仿宋" w:hAnsi="仿宋" w:eastAsia="仿宋"/>
          <w:sz w:val="32"/>
          <w:szCs w:val="32"/>
        </w:rPr>
        <w:t>六、其他收入：指除上述“财政拨款收入”“事业收入”“上级补助收入”“经营收入”“附属单位上缴收入”等以外的收入。</w:t>
      </w:r>
    </w:p>
    <w:p>
      <w:pPr>
        <w:ind w:firstLine="640" w:firstLineChars="200"/>
        <w:rPr>
          <w:rFonts w:hint="eastAsia" w:ascii="仿宋" w:hAnsi="仿宋" w:eastAsia="仿宋"/>
          <w:sz w:val="32"/>
          <w:szCs w:val="32"/>
        </w:rPr>
      </w:pPr>
      <w:r>
        <w:rPr>
          <w:rFonts w:hint="eastAsia" w:ascii="仿宋" w:hAnsi="仿宋" w:eastAsia="仿宋"/>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hint="eastAsia" w:ascii="仿宋" w:hAnsi="仿宋" w:eastAsia="仿宋"/>
          <w:sz w:val="32"/>
          <w:szCs w:val="32"/>
        </w:rPr>
      </w:pPr>
      <w:r>
        <w:rPr>
          <w:rFonts w:hint="eastAsia" w:ascii="仿宋" w:hAnsi="仿宋" w:eastAsia="仿宋"/>
          <w:sz w:val="32"/>
          <w:szCs w:val="32"/>
        </w:rPr>
        <w:t>八、年初结转和结余：指以前年度尚未完成、结转到本年按有关规定继续使用的资金。</w:t>
      </w:r>
    </w:p>
    <w:p>
      <w:pPr>
        <w:ind w:firstLine="640" w:firstLineChars="200"/>
        <w:rPr>
          <w:rFonts w:hint="eastAsia" w:ascii="仿宋" w:hAnsi="仿宋" w:eastAsia="仿宋"/>
          <w:sz w:val="32"/>
          <w:szCs w:val="32"/>
        </w:rPr>
      </w:pPr>
      <w:r>
        <w:rPr>
          <w:rFonts w:hint="eastAsia" w:ascii="仿宋" w:hAnsi="仿宋" w:eastAsia="仿宋"/>
          <w:sz w:val="32"/>
          <w:szCs w:val="32"/>
        </w:rPr>
        <w:t>九、结余分配：指事业单位按规定提取的专用基金和缴纳的所得税。</w:t>
      </w:r>
    </w:p>
    <w:p>
      <w:pPr>
        <w:ind w:firstLine="640" w:firstLineChars="200"/>
        <w:rPr>
          <w:rFonts w:hint="eastAsia" w:ascii="仿宋" w:hAnsi="仿宋" w:eastAsia="仿宋"/>
          <w:sz w:val="32"/>
          <w:szCs w:val="32"/>
        </w:rPr>
      </w:pPr>
      <w:r>
        <w:rPr>
          <w:rFonts w:hint="eastAsia" w:ascii="仿宋" w:hAnsi="仿宋" w:eastAsia="仿宋"/>
          <w:sz w:val="32"/>
          <w:szCs w:val="32"/>
        </w:rPr>
        <w:t>十、年末结转和结余：指本年度或以前年度预算安排、因客观条件发生变化无法按原计划实施，需要延迟到以后年度按有关规定继续使用的资金。</w:t>
      </w:r>
    </w:p>
    <w:p>
      <w:pPr>
        <w:ind w:firstLine="640" w:firstLineChars="200"/>
        <w:rPr>
          <w:rFonts w:hint="eastAsia" w:ascii="仿宋" w:hAnsi="仿宋" w:eastAsia="仿宋"/>
          <w:sz w:val="32"/>
          <w:szCs w:val="32"/>
        </w:rPr>
      </w:pPr>
      <w:r>
        <w:rPr>
          <w:rFonts w:hint="eastAsia" w:ascii="仿宋" w:hAnsi="仿宋" w:eastAsia="仿宋"/>
          <w:sz w:val="32"/>
          <w:szCs w:val="32"/>
        </w:rPr>
        <w:t>十一、基本支出：指为保障机构正常运转、完成日常工作任务而发生的人员支出和公用支出。</w:t>
      </w:r>
    </w:p>
    <w:p>
      <w:pPr>
        <w:ind w:firstLine="640" w:firstLineChars="200"/>
        <w:rPr>
          <w:rFonts w:hint="eastAsia" w:ascii="仿宋" w:hAnsi="仿宋" w:eastAsia="仿宋"/>
          <w:sz w:val="32"/>
          <w:szCs w:val="32"/>
        </w:rPr>
      </w:pPr>
      <w:r>
        <w:rPr>
          <w:rFonts w:hint="eastAsia" w:ascii="仿宋" w:hAnsi="仿宋" w:eastAsia="仿宋"/>
          <w:sz w:val="32"/>
          <w:szCs w:val="32"/>
        </w:rPr>
        <w:t>十二、项目支出：指在基本支出之外为完成特定行政任务和事业发展目标所发生的支出。</w:t>
      </w:r>
    </w:p>
    <w:p>
      <w:pPr>
        <w:ind w:firstLine="640" w:firstLineChars="200"/>
        <w:rPr>
          <w:rFonts w:hint="eastAsia" w:ascii="仿宋" w:hAnsi="仿宋" w:eastAsia="仿宋"/>
          <w:sz w:val="32"/>
          <w:szCs w:val="32"/>
        </w:rPr>
      </w:pPr>
      <w:r>
        <w:rPr>
          <w:rFonts w:hint="eastAsia" w:ascii="仿宋" w:hAnsi="仿宋" w:eastAsia="仿宋"/>
          <w:sz w:val="32"/>
          <w:szCs w:val="32"/>
        </w:rPr>
        <w:t>十三、经营支出：指事业单位在专业业务活动及其辅助活动之外开展非独立核算经营活动发生的支出。</w:t>
      </w:r>
    </w:p>
    <w:p>
      <w:pPr>
        <w:ind w:firstLine="640" w:firstLineChars="200"/>
        <w:rPr>
          <w:rFonts w:hint="eastAsia" w:ascii="仿宋" w:hAnsi="仿宋" w:eastAsia="仿宋"/>
          <w:sz w:val="32"/>
          <w:szCs w:val="32"/>
        </w:rPr>
      </w:pPr>
      <w:r>
        <w:rPr>
          <w:rFonts w:hint="eastAsia" w:ascii="仿宋" w:hAnsi="仿宋" w:eastAsia="仿宋"/>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0" w:firstLineChars="200"/>
        <w:rPr>
          <w:rFonts w:hint="eastAsia" w:ascii="仿宋" w:hAnsi="仿宋" w:eastAsia="仿宋"/>
          <w:sz w:val="32"/>
          <w:szCs w:val="32"/>
        </w:rPr>
      </w:pPr>
      <w:r>
        <w:rPr>
          <w:rFonts w:hint="eastAsia" w:ascii="仿宋" w:hAnsi="仿宋" w:eastAsia="仿宋"/>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bookmarkEnd w:id="113"/>
    <w:bookmarkEnd w:id="114"/>
    <w:bookmarkEnd w:id="115"/>
    <w:bookmarkEnd w:id="116"/>
    <w:bookmarkEnd w:id="117"/>
    <w:bookmarkEnd w:id="118"/>
    <w:p>
      <w:pPr>
        <w:rPr>
          <w:rFonts w:ascii="仿宋" w:hAnsi="仿宋" w:eastAsia="仿宋"/>
          <w:sz w:val="30"/>
          <w:szCs w:val="30"/>
        </w:rPr>
      </w:pPr>
      <w:bookmarkStart w:id="119" w:name="_GoBack"/>
      <w:bookmarkEnd w:id="119"/>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475174"/>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6C22"/>
    <w:multiLevelType w:val="multilevel"/>
    <w:tmpl w:val="55666C22"/>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3NGY1NWZhYzlhYjk0NTA5YThhNGRiYjg2MWM0MjQifQ=="/>
  </w:docVars>
  <w:rsids>
    <w:rsidRoot w:val="000B6B71"/>
    <w:rsid w:val="00010AB1"/>
    <w:rsid w:val="00012D8F"/>
    <w:rsid w:val="00016FC4"/>
    <w:rsid w:val="00031C7D"/>
    <w:rsid w:val="00075835"/>
    <w:rsid w:val="00075A7F"/>
    <w:rsid w:val="00084153"/>
    <w:rsid w:val="000A1BAA"/>
    <w:rsid w:val="000B6B71"/>
    <w:rsid w:val="000C6EA0"/>
    <w:rsid w:val="000F368A"/>
    <w:rsid w:val="000F3A84"/>
    <w:rsid w:val="00100EAF"/>
    <w:rsid w:val="001652F1"/>
    <w:rsid w:val="001656F6"/>
    <w:rsid w:val="001807CB"/>
    <w:rsid w:val="001A2A6C"/>
    <w:rsid w:val="001B688D"/>
    <w:rsid w:val="001C2FEB"/>
    <w:rsid w:val="001D617F"/>
    <w:rsid w:val="001F178B"/>
    <w:rsid w:val="001F6D22"/>
    <w:rsid w:val="0020014A"/>
    <w:rsid w:val="00211B24"/>
    <w:rsid w:val="00220F39"/>
    <w:rsid w:val="002833D4"/>
    <w:rsid w:val="00303BB5"/>
    <w:rsid w:val="00317E27"/>
    <w:rsid w:val="003928B8"/>
    <w:rsid w:val="00393BED"/>
    <w:rsid w:val="003A1EA9"/>
    <w:rsid w:val="003B42C3"/>
    <w:rsid w:val="003B5F57"/>
    <w:rsid w:val="003E3461"/>
    <w:rsid w:val="003F1B95"/>
    <w:rsid w:val="003F2FBF"/>
    <w:rsid w:val="003F5CAA"/>
    <w:rsid w:val="0040315D"/>
    <w:rsid w:val="00413972"/>
    <w:rsid w:val="00414194"/>
    <w:rsid w:val="00420C35"/>
    <w:rsid w:val="00434609"/>
    <w:rsid w:val="00495E39"/>
    <w:rsid w:val="004A6686"/>
    <w:rsid w:val="004C62F6"/>
    <w:rsid w:val="0053106C"/>
    <w:rsid w:val="0057087D"/>
    <w:rsid w:val="005C7636"/>
    <w:rsid w:val="005F4C32"/>
    <w:rsid w:val="005F5992"/>
    <w:rsid w:val="00637EB9"/>
    <w:rsid w:val="006461DF"/>
    <w:rsid w:val="0065636D"/>
    <w:rsid w:val="00672262"/>
    <w:rsid w:val="00680516"/>
    <w:rsid w:val="006B491C"/>
    <w:rsid w:val="006C791C"/>
    <w:rsid w:val="006E11DD"/>
    <w:rsid w:val="00702AB2"/>
    <w:rsid w:val="00733E07"/>
    <w:rsid w:val="00745602"/>
    <w:rsid w:val="0078284C"/>
    <w:rsid w:val="00790A10"/>
    <w:rsid w:val="007C33AC"/>
    <w:rsid w:val="0081501D"/>
    <w:rsid w:val="00826218"/>
    <w:rsid w:val="00827E8E"/>
    <w:rsid w:val="00846773"/>
    <w:rsid w:val="0085071C"/>
    <w:rsid w:val="00861FDA"/>
    <w:rsid w:val="00877DC7"/>
    <w:rsid w:val="008C385C"/>
    <w:rsid w:val="008C3EF2"/>
    <w:rsid w:val="008E2AE6"/>
    <w:rsid w:val="00900C64"/>
    <w:rsid w:val="00934C6C"/>
    <w:rsid w:val="00936279"/>
    <w:rsid w:val="009521A0"/>
    <w:rsid w:val="00957882"/>
    <w:rsid w:val="00981A2D"/>
    <w:rsid w:val="009E14A3"/>
    <w:rsid w:val="00A14A8E"/>
    <w:rsid w:val="00A432A2"/>
    <w:rsid w:val="00A55B87"/>
    <w:rsid w:val="00A675AB"/>
    <w:rsid w:val="00A713C1"/>
    <w:rsid w:val="00A81B11"/>
    <w:rsid w:val="00A919C5"/>
    <w:rsid w:val="00AD21D6"/>
    <w:rsid w:val="00B04441"/>
    <w:rsid w:val="00B1558E"/>
    <w:rsid w:val="00B670F1"/>
    <w:rsid w:val="00B74CB9"/>
    <w:rsid w:val="00B965AF"/>
    <w:rsid w:val="00BA5126"/>
    <w:rsid w:val="00BC452F"/>
    <w:rsid w:val="00BE4781"/>
    <w:rsid w:val="00BF73E0"/>
    <w:rsid w:val="00C075E3"/>
    <w:rsid w:val="00C15B4C"/>
    <w:rsid w:val="00C2126B"/>
    <w:rsid w:val="00C51D3D"/>
    <w:rsid w:val="00C72B62"/>
    <w:rsid w:val="00C86193"/>
    <w:rsid w:val="00CA68AD"/>
    <w:rsid w:val="00CF06D1"/>
    <w:rsid w:val="00D32BD1"/>
    <w:rsid w:val="00D60011"/>
    <w:rsid w:val="00D66A52"/>
    <w:rsid w:val="00D911C3"/>
    <w:rsid w:val="00DA3196"/>
    <w:rsid w:val="00DC1E07"/>
    <w:rsid w:val="00DC4AB7"/>
    <w:rsid w:val="00DF46FF"/>
    <w:rsid w:val="00DF4FB9"/>
    <w:rsid w:val="00E00CFD"/>
    <w:rsid w:val="00E03D2F"/>
    <w:rsid w:val="00E21772"/>
    <w:rsid w:val="00E46F1E"/>
    <w:rsid w:val="00E7430C"/>
    <w:rsid w:val="00E91767"/>
    <w:rsid w:val="00E96613"/>
    <w:rsid w:val="00EB5CB6"/>
    <w:rsid w:val="00EC692C"/>
    <w:rsid w:val="00EF6C94"/>
    <w:rsid w:val="00F01681"/>
    <w:rsid w:val="00F412D2"/>
    <w:rsid w:val="00F51D09"/>
    <w:rsid w:val="00F96519"/>
    <w:rsid w:val="00FB3F9F"/>
    <w:rsid w:val="00FB5DD2"/>
    <w:rsid w:val="00FD337E"/>
    <w:rsid w:val="00FF1E6F"/>
    <w:rsid w:val="026F55A0"/>
    <w:rsid w:val="038C0E81"/>
    <w:rsid w:val="070F4FA8"/>
    <w:rsid w:val="0D3E5FE9"/>
    <w:rsid w:val="102B3A73"/>
    <w:rsid w:val="108E0322"/>
    <w:rsid w:val="133C13AD"/>
    <w:rsid w:val="13BD24A3"/>
    <w:rsid w:val="14515CFB"/>
    <w:rsid w:val="16461969"/>
    <w:rsid w:val="16826AE1"/>
    <w:rsid w:val="1A473F4B"/>
    <w:rsid w:val="1D8C4C25"/>
    <w:rsid w:val="1FF87FCE"/>
    <w:rsid w:val="20581517"/>
    <w:rsid w:val="22443477"/>
    <w:rsid w:val="280A48BD"/>
    <w:rsid w:val="2A2B32A4"/>
    <w:rsid w:val="2BFF463C"/>
    <w:rsid w:val="2F4142D6"/>
    <w:rsid w:val="309C37C4"/>
    <w:rsid w:val="344255DB"/>
    <w:rsid w:val="34927CC6"/>
    <w:rsid w:val="3B755359"/>
    <w:rsid w:val="3DF14E3C"/>
    <w:rsid w:val="41434D48"/>
    <w:rsid w:val="42CF128C"/>
    <w:rsid w:val="49471525"/>
    <w:rsid w:val="49947439"/>
    <w:rsid w:val="4B26485A"/>
    <w:rsid w:val="52483762"/>
    <w:rsid w:val="56FF44C4"/>
    <w:rsid w:val="58C27F5D"/>
    <w:rsid w:val="5A600C16"/>
    <w:rsid w:val="5DD010E5"/>
    <w:rsid w:val="5E014E7B"/>
    <w:rsid w:val="60421D1E"/>
    <w:rsid w:val="60A47158"/>
    <w:rsid w:val="68CB61CB"/>
    <w:rsid w:val="69015C8B"/>
    <w:rsid w:val="6AE564D0"/>
    <w:rsid w:val="6B6E0296"/>
    <w:rsid w:val="6C666333"/>
    <w:rsid w:val="6EE43581"/>
    <w:rsid w:val="6FC26E05"/>
    <w:rsid w:val="71BD1E79"/>
    <w:rsid w:val="740C3A0E"/>
    <w:rsid w:val="741468A5"/>
    <w:rsid w:val="75F22549"/>
    <w:rsid w:val="760606FD"/>
    <w:rsid w:val="768C74A2"/>
    <w:rsid w:val="76E164DE"/>
    <w:rsid w:val="77886598"/>
    <w:rsid w:val="782D580A"/>
    <w:rsid w:val="78312E56"/>
    <w:rsid w:val="78D66664"/>
    <w:rsid w:val="79EE405F"/>
    <w:rsid w:val="7A9B5398"/>
    <w:rsid w:val="7C597971"/>
    <w:rsid w:val="7CA957A1"/>
    <w:rsid w:val="7D447508"/>
    <w:rsid w:val="7D4A1AA9"/>
    <w:rsid w:val="7DAC6451"/>
    <w:rsid w:val="7EE108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4"/>
    <w:qFormat/>
    <w:uiPriority w:val="0"/>
    <w:rPr>
      <w:rFonts w:ascii="宋体" w:hAnsi="Courier New" w:cs="仿宋_GB2312"/>
      <w:szCs w:val="21"/>
    </w:rPr>
  </w:style>
  <w:style w:type="paragraph" w:styleId="3">
    <w:name w:val="Balloon Text"/>
    <w:basedOn w:val="1"/>
    <w:link w:val="16"/>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Chars="200"/>
    </w:pPr>
    <w:rPr>
      <w:rFonts w:ascii="Times New Roman" w:hAnsi="Times New Roman" w:eastAsia="宋体" w:cs="Times New Roman"/>
      <w:lang w:val="en-US" w:eastAsia="zh-CN" w:bidi="ar-SA"/>
    </w:rPr>
  </w:style>
  <w:style w:type="paragraph" w:customStyle="1" w:styleId="11">
    <w:name w:val="正文1 Char Char Char"/>
    <w:basedOn w:val="1"/>
    <w:qFormat/>
    <w:uiPriority w:val="0"/>
    <w:pPr>
      <w:spacing w:line="360" w:lineRule="auto"/>
      <w:ind w:firstLine="200" w:firstLineChars="200"/>
    </w:pPr>
  </w:style>
  <w:style w:type="character" w:customStyle="1" w:styleId="12">
    <w:name w:val="页脚 Char"/>
    <w:basedOn w:val="7"/>
    <w:link w:val="4"/>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character" w:customStyle="1" w:styleId="14">
    <w:name w:val="纯文本 Char"/>
    <w:basedOn w:val="7"/>
    <w:link w:val="2"/>
    <w:qFormat/>
    <w:uiPriority w:val="0"/>
    <w:rPr>
      <w:rFonts w:ascii="宋体" w:hAnsi="Courier New" w:eastAsia="宋体" w:cs="仿宋_GB2312"/>
      <w:szCs w:val="21"/>
    </w:rPr>
  </w:style>
  <w:style w:type="character" w:customStyle="1" w:styleId="15">
    <w:name w:val="页眉 Char"/>
    <w:basedOn w:val="7"/>
    <w:link w:val="5"/>
    <w:semiHidden/>
    <w:qFormat/>
    <w:uiPriority w:val="99"/>
    <w:rPr>
      <w:rFonts w:ascii="Times New Roman" w:hAnsi="Times New Roman" w:eastAsia="宋体" w:cs="Times New Roman"/>
      <w:sz w:val="18"/>
      <w:szCs w:val="18"/>
    </w:rPr>
  </w:style>
  <w:style w:type="character" w:customStyle="1" w:styleId="16">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4639A-F8BF-424C-A180-E7EA8F5D63D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6407</Words>
  <Characters>6965</Characters>
  <Lines>56</Lines>
  <Paragraphs>16</Paragraphs>
  <TotalTime>3</TotalTime>
  <ScaleCrop>false</ScaleCrop>
  <LinksUpToDate>false</LinksUpToDate>
  <CharactersWithSpaces>7116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2021-08-27T08:29:00Z</dcterms:created>
  <dc:creator>11</dc:creator>
  <cp:lastModifiedBy>Administrator</cp:lastModifiedBy>
  <dcterms:modified xsi:type="dcterms:W3CDTF">2022-09-07T07:28:37Z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D50C93654DE649E5AB4AACC2023CE103</vt:lpwstr>
  </property>
</Properties>
</file>