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rPr>
          <w:sz w:val="30"/>
          <w:szCs w:val="30"/>
        </w:rPr>
      </w:pPr>
    </w:p>
    <w:p>
      <w:pPr>
        <w:spacing w:before="100" w:beforeAutospacing="1" w:after="100" w:afterAutospacing="1"/>
        <w:jc w:val="center"/>
        <w:rPr>
          <w:rFonts w:ascii="黑体" w:hAnsi="ˎ̥" w:eastAsia="黑体"/>
          <w:sz w:val="44"/>
          <w:szCs w:val="44"/>
        </w:rPr>
      </w:pPr>
      <w:r>
        <w:rPr>
          <w:rFonts w:hint="eastAsia" w:ascii="黑体" w:hAnsi="ˎ̥" w:eastAsia="黑体"/>
          <w:sz w:val="44"/>
          <w:szCs w:val="44"/>
        </w:rPr>
        <w:t>海南省儋州航道所</w:t>
      </w:r>
    </w:p>
    <w:p>
      <w:pPr>
        <w:jc w:val="center"/>
        <w:rPr>
          <w:rFonts w:ascii="黑体" w:hAnsi="ˎ̥" w:eastAsia="黑体"/>
          <w:sz w:val="44"/>
          <w:szCs w:val="44"/>
        </w:rPr>
      </w:pPr>
      <w:bookmarkStart w:id="0" w:name="_Toc11440_WPSOffice_Type2"/>
      <w:r>
        <w:rPr>
          <w:rFonts w:hint="eastAsia" w:ascii="黑体" w:hAnsi="ˎ̥" w:eastAsia="黑体"/>
          <w:sz w:val="44"/>
          <w:szCs w:val="44"/>
        </w:rPr>
        <w:t>202</w:t>
      </w:r>
      <w:r>
        <w:rPr>
          <w:rFonts w:hint="eastAsia" w:ascii="黑体" w:hAnsi="ˎ̥" w:eastAsia="黑体"/>
          <w:sz w:val="44"/>
          <w:szCs w:val="44"/>
          <w:lang w:val="en-US" w:eastAsia="zh-CN"/>
        </w:rPr>
        <w:t>1</w:t>
      </w:r>
      <w:r>
        <w:rPr>
          <w:rFonts w:hint="eastAsia" w:ascii="黑体" w:hAnsi="ˎ̥" w:eastAsia="黑体"/>
          <w:sz w:val="44"/>
          <w:szCs w:val="44"/>
        </w:rPr>
        <w:t>年度单位决算公开说明</w:t>
      </w:r>
    </w:p>
    <w:p>
      <w:pPr>
        <w:spacing w:before="100" w:beforeAutospacing="1" w:after="100" w:afterAutospacing="1"/>
        <w:jc w:val="center"/>
        <w:rPr>
          <w:rFonts w:ascii="黑体" w:hAnsi="黑体" w:eastAsia="黑体" w:cs="黑体"/>
          <w:sz w:val="44"/>
          <w:szCs w:val="44"/>
        </w:rPr>
      </w:pPr>
      <w:r>
        <w:rPr>
          <w:rFonts w:hint="eastAsia" w:ascii="黑体" w:hAnsi="黑体" w:eastAsia="黑体" w:cs="黑体"/>
          <w:sz w:val="44"/>
          <w:szCs w:val="44"/>
        </w:rPr>
        <w:t>目  录</w:t>
      </w:r>
    </w:p>
    <w:bookmarkEnd w:id="0"/>
    <w:p>
      <w:pPr>
        <w:pStyle w:val="11"/>
        <w:tabs>
          <w:tab w:val="right" w:leader="dot" w:pos="8306"/>
        </w:tabs>
        <w:rPr>
          <w:rFonts w:ascii="黑体" w:hAnsi="黑体" w:eastAsia="黑体"/>
          <w:sz w:val="32"/>
          <w:szCs w:val="32"/>
        </w:rPr>
      </w:pPr>
      <w:r>
        <w:fldChar w:fldCharType="begin"/>
      </w:r>
      <w:r>
        <w:instrText xml:space="preserve"> HYPERLINK "" \l "_Toc1704_WPSOffice_Level1"</w:instrText>
      </w:r>
      <w:r>
        <w:fldChar w:fldCharType="separate"/>
      </w:r>
      <w:r>
        <w:rPr>
          <w:rStyle w:val="8"/>
          <w:rFonts w:hint="eastAsia" w:ascii="黑体" w:hAnsi="黑体" w:eastAsia="黑体"/>
          <w:color w:val="auto"/>
          <w:sz w:val="32"/>
          <w:szCs w:val="32"/>
          <w:u w:val="none"/>
        </w:rPr>
        <w:t>第一部分  海南省儋州航道所概况</w:t>
      </w:r>
      <w:r>
        <w:rPr>
          <w:rStyle w:val="8"/>
          <w:rFonts w:hint="eastAsia" w:ascii="黑体" w:hAnsi="黑体" w:eastAsia="黑体"/>
          <w:color w:val="auto"/>
          <w:sz w:val="32"/>
          <w:szCs w:val="32"/>
          <w:u w:val="none"/>
        </w:rPr>
        <w:tab/>
      </w:r>
      <w:r>
        <w:rPr>
          <w:rStyle w:val="8"/>
          <w:rFonts w:hint="eastAsia" w:ascii="黑体" w:hAnsi="黑体" w:eastAsia="黑体"/>
          <w:color w:val="auto"/>
          <w:sz w:val="32"/>
          <w:szCs w:val="32"/>
          <w:u w:val="none"/>
        </w:rPr>
        <w:t>3</w:t>
      </w:r>
      <w: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Style w:val="8"/>
          <w:rFonts w:hint="eastAsia" w:ascii="仿宋" w:hAnsi="仿宋" w:eastAsia="仿宋" w:cs="仿宋"/>
          <w:color w:val="auto"/>
          <w:sz w:val="32"/>
          <w:szCs w:val="32"/>
          <w:u w:val="none"/>
        </w:rPr>
        <w:t>一、单位职责</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Style w:val="8"/>
          <w:rFonts w:hint="eastAsia" w:ascii="仿宋" w:hAnsi="仿宋" w:eastAsia="仿宋" w:cs="仿宋"/>
          <w:color w:val="auto"/>
          <w:sz w:val="32"/>
          <w:szCs w:val="32"/>
          <w:u w:val="none"/>
        </w:rPr>
        <w:t>二、机构设置</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1"/>
        <w:tabs>
          <w:tab w:val="right" w:leader="dot" w:pos="8306"/>
        </w:tabs>
        <w:rPr>
          <w:rFonts w:ascii="黑体" w:hAnsi="黑体" w:eastAsia="黑体"/>
          <w:sz w:val="32"/>
          <w:szCs w:val="32"/>
        </w:rPr>
      </w:pPr>
      <w:r>
        <w:fldChar w:fldCharType="begin"/>
      </w:r>
      <w:r>
        <w:instrText xml:space="preserve"> HYPERLINK \l "_Toc28253_WPSOffice_Level1" </w:instrText>
      </w:r>
      <w:r>
        <w:fldChar w:fldCharType="separate"/>
      </w:r>
      <w:r>
        <w:rPr>
          <w:rStyle w:val="8"/>
          <w:rFonts w:hint="eastAsia" w:ascii="黑体" w:hAnsi="黑体" w:eastAsia="黑体"/>
          <w:color w:val="auto"/>
          <w:sz w:val="32"/>
          <w:szCs w:val="32"/>
          <w:u w:val="none"/>
        </w:rPr>
        <w:t>第二部分  海南省儋州航道所202</w:t>
      </w:r>
      <w:r>
        <w:rPr>
          <w:rStyle w:val="8"/>
          <w:rFonts w:hint="eastAsia" w:ascii="黑体" w:hAnsi="黑体" w:eastAsia="黑体"/>
          <w:color w:val="auto"/>
          <w:sz w:val="32"/>
          <w:szCs w:val="32"/>
          <w:u w:val="none"/>
          <w:lang w:val="en-US" w:eastAsia="zh-CN"/>
        </w:rPr>
        <w:t>1</w:t>
      </w:r>
      <w:r>
        <w:rPr>
          <w:rStyle w:val="8"/>
          <w:rFonts w:hint="eastAsia" w:ascii="黑体" w:hAnsi="黑体" w:eastAsia="黑体"/>
          <w:color w:val="auto"/>
          <w:sz w:val="32"/>
          <w:szCs w:val="32"/>
          <w:u w:val="none"/>
        </w:rPr>
        <w:t>年度单位决算公开表</w:t>
      </w:r>
      <w:r>
        <w:rPr>
          <w:rStyle w:val="8"/>
          <w:rFonts w:hint="eastAsia" w:ascii="黑体" w:hAnsi="黑体" w:eastAsia="黑体"/>
          <w:color w:val="auto"/>
          <w:sz w:val="32"/>
          <w:szCs w:val="32"/>
          <w:u w:val="none"/>
        </w:rPr>
        <w:tab/>
      </w:r>
      <w:r>
        <w:rPr>
          <w:rStyle w:val="8"/>
          <w:rFonts w:hint="eastAsia" w:ascii="黑体" w:hAnsi="黑体" w:eastAsia="黑体"/>
          <w:color w:val="auto"/>
          <w:sz w:val="32"/>
          <w:szCs w:val="32"/>
          <w:u w:val="none"/>
        </w:rPr>
        <w:t>3</w:t>
      </w:r>
      <w:r>
        <w:rPr>
          <w:rStyle w:val="8"/>
          <w:rFonts w:hint="eastAsia" w:ascii="黑体" w:hAnsi="黑体" w:eastAsia="黑体"/>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Style w:val="8"/>
          <w:rFonts w:hint="eastAsia" w:ascii="仿宋" w:hAnsi="仿宋" w:eastAsia="仿宋" w:cs="仿宋"/>
          <w:color w:val="auto"/>
          <w:sz w:val="32"/>
          <w:szCs w:val="32"/>
          <w:u w:val="none"/>
        </w:rPr>
        <w:t>一、收入支出决算公开表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Style w:val="8"/>
          <w:rFonts w:hint="eastAsia" w:ascii="仿宋" w:hAnsi="仿宋" w:eastAsia="仿宋" w:cs="仿宋"/>
          <w:color w:val="auto"/>
          <w:sz w:val="32"/>
          <w:szCs w:val="32"/>
          <w:u w:val="none"/>
        </w:rPr>
        <w:t>二、收入决算公开表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Style w:val="8"/>
          <w:rFonts w:hint="eastAsia" w:ascii="仿宋" w:hAnsi="仿宋" w:eastAsia="仿宋" w:cs="仿宋"/>
          <w:color w:val="auto"/>
          <w:sz w:val="32"/>
          <w:szCs w:val="32"/>
          <w:u w:val="none"/>
        </w:rPr>
        <w:t>三、支出决算公开表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Style w:val="8"/>
          <w:rFonts w:hint="eastAsia" w:ascii="仿宋" w:hAnsi="仿宋" w:eastAsia="仿宋" w:cs="仿宋"/>
          <w:color w:val="auto"/>
          <w:sz w:val="32"/>
          <w:szCs w:val="32"/>
          <w:u w:val="none"/>
        </w:rPr>
        <w:t>四、财政拨款收入支出决算公开表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Style w:val="8"/>
          <w:rFonts w:hint="eastAsia" w:ascii="仿宋" w:hAnsi="仿宋" w:eastAsia="仿宋" w:cs="仿宋"/>
          <w:color w:val="auto"/>
          <w:sz w:val="32"/>
          <w:szCs w:val="32"/>
          <w:u w:val="none"/>
        </w:rPr>
        <w:t>五、一般公共预算财政拨款收入支出决算公开表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Style w:val="8"/>
          <w:rFonts w:hint="eastAsia" w:ascii="仿宋" w:hAnsi="仿宋" w:eastAsia="仿宋" w:cs="仿宋"/>
          <w:color w:val="auto"/>
          <w:sz w:val="32"/>
          <w:szCs w:val="32"/>
          <w:u w:val="none"/>
        </w:rPr>
        <w:t>六、一般公共预算财政拨款基本支出决算公开表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Style w:val="8"/>
          <w:rFonts w:hint="eastAsia" w:ascii="仿宋" w:hAnsi="仿宋" w:eastAsia="仿宋" w:cs="仿宋"/>
          <w:color w:val="auto"/>
          <w:sz w:val="32"/>
          <w:szCs w:val="32"/>
          <w:u w:val="none"/>
        </w:rPr>
        <w:t>七、政府性基金预算财政拨款收入支出决算公开表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3</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Style w:val="8"/>
          <w:rFonts w:hint="eastAsia" w:ascii="仿宋" w:hAnsi="仿宋" w:eastAsia="仿宋" w:cs="仿宋"/>
          <w:color w:val="auto"/>
          <w:sz w:val="32"/>
          <w:szCs w:val="32"/>
          <w:u w:val="none"/>
        </w:rPr>
        <w:t>八、国有资本经营预算财政拨款收入支出决算公开表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4</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8"/>
          <w:rFonts w:hint="eastAsia" w:ascii="仿宋" w:hAnsi="仿宋" w:eastAsia="仿宋" w:cs="仿宋"/>
          <w:color w:val="auto"/>
          <w:sz w:val="32"/>
          <w:szCs w:val="32"/>
          <w:u w:val="none"/>
        </w:rPr>
        <w:t>九、一般公共预算财政拨款“三公”经费支出决算公开表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4</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8"/>
          <w:rFonts w:hint="eastAsia" w:ascii="仿宋" w:hAnsi="仿宋" w:eastAsia="仿宋" w:cs="仿宋"/>
          <w:color w:val="auto"/>
          <w:sz w:val="32"/>
          <w:szCs w:val="32"/>
          <w:u w:val="none"/>
        </w:rPr>
        <w:t>十、政府性基金预算财政拨款“三公”经费支出决算公开表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4</w:t>
      </w:r>
    </w:p>
    <w:p>
      <w:pPr>
        <w:pStyle w:val="12"/>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Style w:val="8"/>
          <w:rFonts w:hint="eastAsia" w:ascii="仿宋" w:hAnsi="仿宋" w:eastAsia="仿宋" w:cs="仿宋"/>
          <w:color w:val="auto"/>
          <w:sz w:val="32"/>
          <w:szCs w:val="32"/>
          <w:u w:val="none"/>
        </w:rPr>
        <w:t>十一、国有资本经营预算财政拨款“三公”经费支出决算公开表</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4</w:t>
      </w:r>
      <w:r>
        <w:rPr>
          <w:rStyle w:val="8"/>
          <w:rFonts w:hint="eastAsia" w:ascii="仿宋" w:hAnsi="仿宋" w:eastAsia="仿宋" w:cs="仿宋"/>
          <w:color w:val="auto"/>
          <w:sz w:val="32"/>
          <w:szCs w:val="32"/>
          <w:u w:val="none"/>
        </w:rPr>
        <w:fldChar w:fldCharType="end"/>
      </w:r>
    </w:p>
    <w:p>
      <w:pPr>
        <w:pStyle w:val="11"/>
        <w:tabs>
          <w:tab w:val="right" w:leader="dot" w:pos="8306"/>
        </w:tabs>
        <w:rPr>
          <w:rFonts w:ascii="黑体" w:hAnsi="黑体" w:eastAsia="黑体"/>
          <w:sz w:val="32"/>
          <w:szCs w:val="32"/>
        </w:rPr>
      </w:pPr>
      <w:r>
        <w:fldChar w:fldCharType="begin"/>
      </w:r>
      <w:r>
        <w:instrText xml:space="preserve"> HYPERLINK \l "_Toc27590_WPSOffice_Level1" </w:instrText>
      </w:r>
      <w:r>
        <w:fldChar w:fldCharType="separate"/>
      </w:r>
      <w:r>
        <w:rPr>
          <w:rStyle w:val="8"/>
          <w:rFonts w:hint="eastAsia" w:ascii="黑体" w:hAnsi="黑体" w:eastAsia="黑体" w:cs="黑体"/>
          <w:color w:val="auto"/>
          <w:sz w:val="32"/>
          <w:szCs w:val="32"/>
          <w:u w:val="none"/>
        </w:rPr>
        <w:t>第三部分</w:t>
      </w:r>
      <w:r>
        <w:rPr>
          <w:rStyle w:val="8"/>
          <w:rFonts w:hint="eastAsia" w:ascii="黑体" w:hAnsi="黑体" w:eastAsia="黑体"/>
          <w:color w:val="auto"/>
          <w:sz w:val="32"/>
          <w:szCs w:val="32"/>
          <w:u w:val="none"/>
        </w:rPr>
        <w:t xml:space="preserve"> 海南省儋州航道所202</w:t>
      </w:r>
      <w:r>
        <w:rPr>
          <w:rStyle w:val="8"/>
          <w:rFonts w:hint="eastAsia" w:ascii="黑体" w:hAnsi="黑体" w:eastAsia="黑体"/>
          <w:color w:val="auto"/>
          <w:sz w:val="32"/>
          <w:szCs w:val="32"/>
          <w:u w:val="none"/>
          <w:lang w:val="en-US" w:eastAsia="zh-CN"/>
        </w:rPr>
        <w:t>1</w:t>
      </w:r>
      <w:r>
        <w:rPr>
          <w:rStyle w:val="8"/>
          <w:rFonts w:hint="eastAsia" w:ascii="黑体" w:hAnsi="黑体" w:eastAsia="黑体"/>
          <w:color w:val="auto"/>
          <w:sz w:val="32"/>
          <w:szCs w:val="32"/>
          <w:u w:val="none"/>
        </w:rPr>
        <w:t>年度单位决算情况说明</w:t>
      </w:r>
      <w:r>
        <w:rPr>
          <w:rStyle w:val="8"/>
          <w:rFonts w:hint="eastAsia" w:ascii="黑体" w:hAnsi="黑体" w:eastAsia="黑体"/>
          <w:color w:val="auto"/>
          <w:sz w:val="32"/>
          <w:szCs w:val="32"/>
          <w:u w:val="none"/>
        </w:rPr>
        <w:tab/>
      </w:r>
      <w:r>
        <w:rPr>
          <w:rStyle w:val="8"/>
          <w:rFonts w:hint="eastAsia" w:ascii="黑体" w:hAnsi="黑体" w:eastAsia="黑体"/>
          <w:color w:val="auto"/>
          <w:sz w:val="32"/>
          <w:szCs w:val="32"/>
          <w:u w:val="none"/>
        </w:rPr>
        <w:t>4</w:t>
      </w:r>
      <w:r>
        <w:rPr>
          <w:rStyle w:val="8"/>
          <w:rFonts w:hint="eastAsia" w:ascii="黑体" w:hAnsi="黑体" w:eastAsia="黑体"/>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Style w:val="8"/>
          <w:rFonts w:hint="eastAsia" w:ascii="仿宋" w:hAnsi="仿宋" w:eastAsia="仿宋" w:cs="仿宋"/>
          <w:bCs/>
          <w:color w:val="auto"/>
          <w:sz w:val="32"/>
          <w:szCs w:val="32"/>
          <w:u w:val="none"/>
        </w:rPr>
        <w:t>一、收入支出决算总体情况说明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4</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二、收入决算情况说明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4</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三、支出决算情况说明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5</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四、财政拨款收入支出决算情况说明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5</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五、一般公共预算财政拨款支出决算情况说明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t>6</w:t>
      </w:r>
      <w:r>
        <w:rPr>
          <w:rStyle w:val="8"/>
          <w:rFonts w:hint="eastAsia" w:ascii="仿宋" w:hAnsi="仿宋" w:eastAsia="仿宋" w:cs="仿宋"/>
          <w:color w:val="auto"/>
          <w:sz w:val="32"/>
          <w:szCs w:val="32"/>
          <w:u w:val="none"/>
        </w:rPr>
        <w:fldChar w:fldCharType="end"/>
      </w:r>
    </w:p>
    <w:p>
      <w:pPr>
        <w:pStyle w:val="12"/>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六、一般公共预算财政拨款基本支出决算情况说明</w:t>
      </w:r>
      <w:r>
        <w:rPr>
          <w:rStyle w:val="8"/>
          <w:rFonts w:hint="eastAsia" w:ascii="仿宋" w:hAnsi="仿宋" w:eastAsia="仿宋" w:cs="仿宋"/>
          <w:bCs/>
          <w:color w:val="auto"/>
          <w:sz w:val="32"/>
          <w:szCs w:val="32"/>
          <w:u w:val="none"/>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2"/>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12"/>
        <w:numPr>
          <w:ilvl w:val="0"/>
          <w:numId w:val="1"/>
        </w:numPr>
        <w:tabs>
          <w:tab w:val="right" w:leader="dot" w:pos="8306"/>
        </w:tabs>
        <w:ind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Style w:val="8"/>
          <w:color w:val="auto"/>
          <w:w w:val="98"/>
          <w:u w:val="none"/>
        </w:rPr>
      </w:pPr>
      <w:r>
        <w:fldChar w:fldCharType="begin"/>
      </w:r>
      <w:r>
        <w:instrText xml:space="preserve"> HYPERLINK \l "_Toc5978_WPSOffice_Level2" </w:instrText>
      </w:r>
      <w:r>
        <w:fldChar w:fldCharType="separate"/>
      </w:r>
      <w:r>
        <w:rPr>
          <w:rStyle w:val="8"/>
          <w:rFonts w:hint="eastAsia" w:ascii="仿宋" w:hAnsi="仿宋" w:eastAsia="仿宋" w:cs="仿宋"/>
          <w:bCs/>
          <w:color w:val="auto"/>
          <w:sz w:val="32"/>
          <w:szCs w:val="32"/>
          <w:u w:val="none"/>
        </w:rPr>
        <w:t>九、</w:t>
      </w:r>
      <w:r>
        <w:rPr>
          <w:rStyle w:val="8"/>
          <w:rFonts w:hint="eastAsia" w:ascii="仿宋" w:hAnsi="仿宋" w:eastAsia="仿宋" w:cs="仿宋"/>
          <w:bCs/>
          <w:color w:val="auto"/>
          <w:w w:val="98"/>
          <w:sz w:val="32"/>
          <w:szCs w:val="32"/>
          <w:u w:val="none"/>
        </w:rPr>
        <w:t>一般公共预算财政拨款“三公”经费支出决算情况说明</w:t>
      </w:r>
      <w:r>
        <w:rPr>
          <w:rStyle w:val="8"/>
          <w:rFonts w:hint="eastAsia" w:ascii="仿宋" w:hAnsi="仿宋" w:eastAsia="仿宋" w:cs="仿宋"/>
          <w:bCs/>
          <w:color w:val="auto"/>
          <w:w w:val="98"/>
          <w:sz w:val="32"/>
          <w:szCs w:val="32"/>
          <w:u w:val="none"/>
        </w:rPr>
        <w:fldChar w:fldCharType="end"/>
      </w:r>
    </w:p>
    <w:p>
      <w:pPr>
        <w:pStyle w:val="12"/>
        <w:tabs>
          <w:tab w:val="right" w:leader="dot" w:pos="8306"/>
        </w:tabs>
        <w:ind w:leftChars="0"/>
      </w:pPr>
      <w:r>
        <w:fldChar w:fldCharType="begin"/>
      </w:r>
      <w:r>
        <w:instrText xml:space="preserve"> HYPERLINK \l "_Toc5978_WPSOffice_Level2" </w:instrText>
      </w:r>
      <w:r>
        <w:fldChar w:fldCharType="separate"/>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8</w:t>
      </w:r>
    </w:p>
    <w:p>
      <w:pPr>
        <w:rPr>
          <w:rStyle w:val="8"/>
          <w:color w:val="auto"/>
          <w:w w:val="98"/>
          <w:u w:val="none"/>
        </w:rPr>
      </w:pPr>
      <w:r>
        <w:fldChar w:fldCharType="begin"/>
      </w:r>
      <w:r>
        <w:instrText xml:space="preserve"> HYPERLINK \l "_Toc5978_WPSOffice_Level2" </w:instrText>
      </w:r>
      <w:r>
        <w:fldChar w:fldCharType="separate"/>
      </w:r>
      <w:r>
        <w:rPr>
          <w:rStyle w:val="8"/>
          <w:rFonts w:hint="eastAsia" w:ascii="仿宋" w:hAnsi="仿宋" w:eastAsia="仿宋" w:cs="仿宋"/>
          <w:bCs/>
          <w:color w:val="auto"/>
          <w:sz w:val="32"/>
          <w:szCs w:val="32"/>
          <w:u w:val="none"/>
        </w:rPr>
        <w:t>十、</w:t>
      </w:r>
      <w:r>
        <w:rPr>
          <w:rStyle w:val="8"/>
          <w:rFonts w:hint="eastAsia" w:ascii="仿宋" w:hAnsi="仿宋" w:eastAsia="仿宋" w:cs="仿宋"/>
          <w:bCs/>
          <w:color w:val="auto"/>
          <w:w w:val="98"/>
          <w:sz w:val="32"/>
          <w:szCs w:val="32"/>
          <w:u w:val="none"/>
        </w:rPr>
        <w:t>政府性基金预算财政拨款“三公”经费支出决算情况说明</w:t>
      </w:r>
      <w:r>
        <w:rPr>
          <w:rStyle w:val="8"/>
          <w:rFonts w:hint="eastAsia" w:ascii="仿宋" w:hAnsi="仿宋" w:eastAsia="仿宋" w:cs="仿宋"/>
          <w:bCs/>
          <w:color w:val="auto"/>
          <w:w w:val="98"/>
          <w:sz w:val="32"/>
          <w:szCs w:val="32"/>
          <w:u w:val="none"/>
        </w:rPr>
        <w:fldChar w:fldCharType="end"/>
      </w:r>
    </w:p>
    <w:p>
      <w:pPr>
        <w:pStyle w:val="12"/>
        <w:tabs>
          <w:tab w:val="right" w:leader="dot" w:pos="8306"/>
        </w:tabs>
        <w:ind w:left="0" w:leftChars="0"/>
      </w:pPr>
      <w:r>
        <w:fldChar w:fldCharType="begin"/>
      </w:r>
      <w:r>
        <w:instrText xml:space="preserve"> HYPERLINK \l "_Toc5978_WPSOffice_Level2" </w:instrText>
      </w:r>
      <w:r>
        <w:fldChar w:fldCharType="separate"/>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8</w:t>
      </w:r>
    </w:p>
    <w:p>
      <w:pPr>
        <w:rPr>
          <w:rStyle w:val="8"/>
          <w:color w:val="auto"/>
          <w:w w:val="91"/>
          <w:u w:val="none"/>
        </w:rPr>
      </w:pPr>
      <w:r>
        <w:fldChar w:fldCharType="begin"/>
      </w:r>
      <w:r>
        <w:instrText xml:space="preserve"> HYPERLINK \l "_Toc5978_WPSOffice_Level2" </w:instrText>
      </w:r>
      <w:r>
        <w:fldChar w:fldCharType="separate"/>
      </w:r>
      <w:r>
        <w:rPr>
          <w:rStyle w:val="8"/>
          <w:rFonts w:hint="eastAsia" w:ascii="仿宋" w:hAnsi="仿宋" w:eastAsia="仿宋" w:cs="仿宋"/>
          <w:bCs/>
          <w:color w:val="auto"/>
          <w:w w:val="91"/>
          <w:sz w:val="32"/>
          <w:szCs w:val="32"/>
          <w:u w:val="none"/>
        </w:rPr>
        <w:t>十一、国有资本经营预算财政拨款“三公”经费支出决算情况说明</w:t>
      </w:r>
      <w:r>
        <w:rPr>
          <w:rStyle w:val="8"/>
          <w:rFonts w:hint="eastAsia" w:ascii="仿宋" w:hAnsi="仿宋" w:eastAsia="仿宋" w:cs="仿宋"/>
          <w:bCs/>
          <w:color w:val="auto"/>
          <w:w w:val="91"/>
          <w:sz w:val="32"/>
          <w:szCs w:val="32"/>
          <w:u w:val="none"/>
        </w:rPr>
        <w:fldChar w:fldCharType="end"/>
      </w:r>
    </w:p>
    <w:p>
      <w:pPr>
        <w:pStyle w:val="12"/>
        <w:tabs>
          <w:tab w:val="right" w:leader="dot" w:pos="8306"/>
        </w:tabs>
        <w:ind w:leftChars="0"/>
      </w:pPr>
      <w:r>
        <w:fldChar w:fldCharType="begin"/>
      </w:r>
      <w:r>
        <w:instrText xml:space="preserve"> HYPERLINK \l "_Toc5978_WPSOffice_Level2" </w:instrText>
      </w:r>
      <w:r>
        <w:fldChar w:fldCharType="separate"/>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9</w:t>
      </w:r>
    </w:p>
    <w:p>
      <w:pPr>
        <w:pStyle w:val="12"/>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Style w:val="8"/>
          <w:rFonts w:hint="eastAsia" w:ascii="仿宋" w:hAnsi="仿宋" w:eastAsia="仿宋" w:cs="仿宋"/>
          <w:bCs/>
          <w:color w:val="auto"/>
          <w:sz w:val="32"/>
          <w:szCs w:val="32"/>
          <w:u w:val="none"/>
        </w:rPr>
        <w:t>十二、预算绩效情况说明</w:t>
      </w:r>
      <w:r>
        <w:rPr>
          <w:rStyle w:val="8"/>
          <w:rFonts w:hint="eastAsia" w:ascii="仿宋" w:hAnsi="仿宋" w:eastAsia="仿宋" w:cs="仿宋"/>
          <w:color w:val="auto"/>
          <w:sz w:val="32"/>
          <w:szCs w:val="32"/>
          <w:u w:val="none"/>
        </w:rPr>
        <w:tab/>
      </w:r>
      <w:r>
        <w:rPr>
          <w:rStyle w:val="8"/>
          <w:rFonts w:hint="eastAsia" w:ascii="仿宋" w:hAnsi="仿宋" w:eastAsia="仿宋" w:cs="仿宋"/>
          <w:color w:val="auto"/>
          <w:sz w:val="32"/>
          <w:szCs w:val="32"/>
          <w:u w:val="none"/>
        </w:rPr>
        <w:fldChar w:fldCharType="end"/>
      </w:r>
      <w:r>
        <w:rPr>
          <w:rFonts w:hint="eastAsia" w:ascii="仿宋" w:hAnsi="仿宋" w:eastAsia="仿宋" w:cs="仿宋"/>
          <w:sz w:val="32"/>
          <w:szCs w:val="32"/>
        </w:rPr>
        <w:t>9</w:t>
      </w:r>
    </w:p>
    <w:p>
      <w:pPr>
        <w:pStyle w:val="12"/>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11"/>
        <w:tabs>
          <w:tab w:val="right" w:leader="dot" w:pos="8306"/>
        </w:tabs>
        <w:rPr>
          <w:rFonts w:ascii="仿宋" w:hAnsi="仿宋" w:eastAsia="仿宋"/>
          <w:sz w:val="32"/>
          <w:szCs w:val="32"/>
        </w:rPr>
      </w:pPr>
      <w:r>
        <w:fldChar w:fldCharType="begin"/>
      </w:r>
      <w:r>
        <w:instrText xml:space="preserve"> HYPERLINK \l "_Toc15425_WPSOffice_Level1" </w:instrText>
      </w:r>
      <w:r>
        <w:fldChar w:fldCharType="separate"/>
      </w:r>
      <w:r>
        <w:rPr>
          <w:rStyle w:val="8"/>
          <w:rFonts w:hint="eastAsia" w:ascii="仿宋" w:hAnsi="仿宋" w:eastAsia="仿宋"/>
          <w:color w:val="auto"/>
          <w:sz w:val="32"/>
          <w:szCs w:val="32"/>
          <w:u w:val="none"/>
        </w:rPr>
        <w:t>第四部分  名词解释</w:t>
      </w:r>
      <w:r>
        <w:rPr>
          <w:rStyle w:val="8"/>
          <w:rFonts w:hint="eastAsia" w:ascii="仿宋" w:hAnsi="仿宋" w:eastAsia="仿宋"/>
          <w:color w:val="auto"/>
          <w:sz w:val="32"/>
          <w:szCs w:val="32"/>
          <w:u w:val="none"/>
        </w:rPr>
        <w:tab/>
      </w:r>
      <w:r>
        <w:rPr>
          <w:rStyle w:val="8"/>
          <w:rFonts w:hint="eastAsia" w:ascii="仿宋" w:hAnsi="仿宋" w:eastAsia="仿宋"/>
          <w:color w:val="auto"/>
          <w:sz w:val="32"/>
          <w:szCs w:val="32"/>
          <w:u w:val="none"/>
        </w:rPr>
        <w:t>1</w:t>
      </w:r>
      <w:r>
        <w:rPr>
          <w:rStyle w:val="8"/>
          <w:rFonts w:hint="eastAsia" w:ascii="仿宋" w:hAnsi="仿宋" w:eastAsia="仿宋"/>
          <w:color w:val="auto"/>
          <w:sz w:val="32"/>
          <w:szCs w:val="32"/>
          <w:u w:val="none"/>
        </w:rPr>
        <w:fldChar w:fldCharType="end"/>
      </w:r>
      <w:r>
        <w:rPr>
          <w:rFonts w:hint="eastAsia" w:ascii="仿宋" w:hAnsi="仿宋" w:eastAsia="仿宋"/>
          <w:sz w:val="32"/>
          <w:szCs w:val="32"/>
        </w:rPr>
        <w:t>1</w:t>
      </w:r>
    </w:p>
    <w:p>
      <w:pPr>
        <w:spacing w:line="560" w:lineRule="exact"/>
        <w:jc w:val="center"/>
        <w:rPr>
          <w:rFonts w:ascii="黑体" w:hAnsi="黑体" w:eastAsia="黑体"/>
          <w:sz w:val="32"/>
          <w:szCs w:val="32"/>
        </w:rPr>
      </w:pPr>
      <w:bookmarkStart w:id="1" w:name="_Toc32433_WPSOffice_Level1"/>
      <w:bookmarkStart w:id="2" w:name="_Toc1704_WPSOffice_Level1"/>
      <w:bookmarkStart w:id="3" w:name="_Toc23465_WPSOffice_Level1"/>
      <w:bookmarkStart w:id="4" w:name="_Toc10049_WPSOffice_Level1"/>
      <w:bookmarkStart w:id="5" w:name="_Toc22941_WPSOffice_Level1"/>
      <w:bookmarkStart w:id="6" w:name="_Toc10720_WPSOffice_Level1"/>
      <w:bookmarkStart w:id="7" w:name="_Toc24238_WPSOffice_Level2"/>
      <w:bookmarkStart w:id="8" w:name="_Toc32622_WPSOffice_Level2"/>
      <w:bookmarkStart w:id="9" w:name="_Toc20274_WPSOffice_Level2"/>
      <w:bookmarkStart w:id="10" w:name="_Toc20205_WPSOffice_Level2"/>
      <w:bookmarkStart w:id="11" w:name="_Toc14159_WPSOffice_Level2"/>
      <w:bookmarkStart w:id="12" w:name="_Toc26580_WPSOffice_Level2"/>
      <w:r>
        <w:rPr>
          <w:rFonts w:hint="eastAsia" w:ascii="黑体" w:hAnsi="黑体" w:eastAsia="黑体"/>
          <w:sz w:val="32"/>
          <w:szCs w:val="32"/>
        </w:rPr>
        <w:t>第一部分 海南省儋州航道所单位概况</w:t>
      </w:r>
      <w:bookmarkEnd w:id="1"/>
      <w:bookmarkEnd w:id="2"/>
      <w:bookmarkEnd w:id="3"/>
      <w:bookmarkEnd w:id="4"/>
      <w:bookmarkEnd w:id="5"/>
      <w:bookmarkEnd w:id="6"/>
    </w:p>
    <w:p>
      <w:pPr>
        <w:spacing w:line="560" w:lineRule="exact"/>
        <w:jc w:val="center"/>
        <w:rPr>
          <w:rFonts w:ascii="黑体" w:hAnsi="黑体" w:eastAsia="黑体"/>
          <w:sz w:val="32"/>
          <w:szCs w:val="32"/>
        </w:rPr>
      </w:pPr>
    </w:p>
    <w:p>
      <w:pPr>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一、</w:t>
      </w:r>
      <w:bookmarkEnd w:id="7"/>
      <w:r>
        <w:rPr>
          <w:rFonts w:hint="eastAsia" w:ascii="仿宋" w:hAnsi="仿宋" w:eastAsia="仿宋" w:cs="黑体"/>
          <w:b/>
          <w:sz w:val="32"/>
          <w:szCs w:val="32"/>
        </w:rPr>
        <w:t>单位职责</w:t>
      </w:r>
      <w:bookmarkEnd w:id="8"/>
      <w:bookmarkEnd w:id="9"/>
      <w:bookmarkEnd w:id="10"/>
      <w:bookmarkEnd w:id="11"/>
      <w:bookmarkEnd w:id="12"/>
    </w:p>
    <w:p>
      <w:pPr>
        <w:spacing w:line="560" w:lineRule="exact"/>
        <w:ind w:firstLine="640" w:firstLineChars="200"/>
        <w:rPr>
          <w:rFonts w:ascii="仿宋" w:hAnsi="仿宋" w:eastAsia="仿宋"/>
          <w:sz w:val="32"/>
          <w:szCs w:val="32"/>
        </w:rPr>
      </w:pPr>
      <w:bookmarkStart w:id="13" w:name="_Toc24474_WPSOffice_Level2"/>
      <w:bookmarkStart w:id="14" w:name="_Toc6572_WPSOffice_Level2"/>
      <w:bookmarkStart w:id="15" w:name="_Toc17796_WPSOffice_Level2"/>
      <w:bookmarkStart w:id="16" w:name="_Toc4833_WPSOffice_Level2"/>
      <w:bookmarkStart w:id="17" w:name="_Toc24059_WPSOffice_Level2"/>
      <w:r>
        <w:rPr>
          <w:rFonts w:hint="eastAsia" w:ascii="仿宋" w:hAnsi="仿宋" w:eastAsia="仿宋"/>
          <w:color w:val="000000"/>
          <w:sz w:val="32"/>
          <w:szCs w:val="32"/>
        </w:rPr>
        <w:t>主要职责</w:t>
      </w:r>
      <w:r>
        <w:rPr>
          <w:rFonts w:hint="eastAsia" w:ascii="仿宋" w:hAnsi="仿宋" w:eastAsia="仿宋"/>
          <w:sz w:val="32"/>
          <w:szCs w:val="32"/>
        </w:rPr>
        <w:t>是：</w:t>
      </w:r>
      <w:r>
        <w:rPr>
          <w:rFonts w:hint="eastAsia" w:ascii="仿宋" w:hAnsi="仿宋" w:eastAsia="仿宋"/>
          <w:color w:val="000000"/>
          <w:sz w:val="32"/>
          <w:szCs w:val="32"/>
        </w:rPr>
        <w:t>根据法律法规规定和授权，负责管辖航道养护开发及航标维修管理</w:t>
      </w:r>
      <w:r>
        <w:rPr>
          <w:rFonts w:hint="eastAsia" w:ascii="仿宋" w:hAnsi="仿宋" w:eastAsia="仿宋"/>
          <w:sz w:val="32"/>
          <w:szCs w:val="32"/>
        </w:rPr>
        <w:t>而设立的机构。目前管理洋浦湾和邻近地区（儋州、白沙）航道 ，管辖航道全长共161.76km(沿海航道16.06km)；负责管理养护航标29座，其中灯桩12座（排浦灯桩1座、神尖角灯桩1座、洋浦航道灯桩7座、新英港灯桩3座），洋浦航道前后导标4座，洋浦航道灯浮标9座，白马井港浮标4座。</w:t>
      </w:r>
    </w:p>
    <w:p>
      <w:pPr>
        <w:spacing w:line="560" w:lineRule="exact"/>
        <w:ind w:firstLine="643" w:firstLineChars="200"/>
        <w:rPr>
          <w:rFonts w:ascii="仿宋" w:hAnsi="仿宋" w:eastAsia="仿宋" w:cs="黑体"/>
          <w:b/>
          <w:sz w:val="32"/>
          <w:szCs w:val="32"/>
        </w:rPr>
      </w:pPr>
      <w:r>
        <w:rPr>
          <w:rFonts w:hint="eastAsia" w:ascii="仿宋" w:hAnsi="仿宋" w:eastAsia="仿宋" w:cs="黑体"/>
          <w:b/>
          <w:sz w:val="32"/>
          <w:szCs w:val="32"/>
        </w:rPr>
        <w:t>二、机构设置</w:t>
      </w:r>
      <w:bookmarkEnd w:id="13"/>
      <w:bookmarkEnd w:id="14"/>
      <w:bookmarkEnd w:id="15"/>
      <w:bookmarkEnd w:id="16"/>
      <w:bookmarkEnd w:id="17"/>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本单位成立于1995年1月份（琼编办[1995]2号、[2002]119号、文件），</w:t>
      </w:r>
      <w:r>
        <w:rPr>
          <w:rFonts w:hint="eastAsia" w:ascii="仿宋" w:hAnsi="仿宋" w:eastAsia="仿宋"/>
          <w:color w:val="000000"/>
          <w:sz w:val="32"/>
          <w:szCs w:val="32"/>
        </w:rPr>
        <w:t>琼编办【2016】224号，海南省机构编制委员会办公室关于省交通运输厅所属事业单位机构编制调整和分类的通知，正科级，隶属海南省港航管理局，单位性质为公益一类事业单位，在编人员7人，</w:t>
      </w:r>
      <w:r>
        <w:rPr>
          <w:rFonts w:hint="eastAsia" w:ascii="仿宋" w:hAnsi="仿宋" w:eastAsia="仿宋"/>
          <w:sz w:val="32"/>
          <w:szCs w:val="32"/>
        </w:rPr>
        <w:t>内设航道航标室、财务室、办公室。</w:t>
      </w:r>
    </w:p>
    <w:p>
      <w:pPr>
        <w:spacing w:line="560" w:lineRule="exact"/>
        <w:ind w:firstLine="640" w:firstLineChars="200"/>
        <w:rPr>
          <w:rFonts w:ascii="仿宋" w:hAnsi="仿宋" w:eastAsia="仿宋"/>
          <w:color w:val="000000"/>
          <w:sz w:val="32"/>
          <w:szCs w:val="32"/>
        </w:rPr>
      </w:pPr>
    </w:p>
    <w:p>
      <w:pPr>
        <w:spacing w:line="560" w:lineRule="exact"/>
        <w:jc w:val="center"/>
        <w:rPr>
          <w:rFonts w:ascii="黑体" w:hAnsi="黑体" w:eastAsia="黑体"/>
          <w:b/>
          <w:sz w:val="32"/>
          <w:szCs w:val="32"/>
        </w:rPr>
      </w:pPr>
      <w:bookmarkStart w:id="18" w:name="_Toc31264_WPSOffice_Level1"/>
      <w:bookmarkStart w:id="19" w:name="_Toc16686_WPSOffice_Level1"/>
      <w:bookmarkStart w:id="20" w:name="_Toc28629_WPSOffice_Level1"/>
      <w:bookmarkStart w:id="21" w:name="_Toc4402_WPSOffice_Level1"/>
      <w:bookmarkStart w:id="22" w:name="_Toc27590_WPSOffice_Level1"/>
      <w:bookmarkStart w:id="23" w:name="_Toc29683_WPSOffice_Level1"/>
      <w:r>
        <w:rPr>
          <w:rFonts w:hint="eastAsia" w:ascii="黑体" w:hAnsi="黑体" w:eastAsia="黑体"/>
          <w:b/>
          <w:sz w:val="32"/>
          <w:szCs w:val="32"/>
        </w:rPr>
        <w:t>第二部分  海南省儋州航道所202</w:t>
      </w:r>
      <w:r>
        <w:rPr>
          <w:rFonts w:hint="eastAsia" w:ascii="黑体" w:hAnsi="黑体" w:eastAsia="黑体"/>
          <w:b/>
          <w:sz w:val="32"/>
          <w:szCs w:val="32"/>
          <w:lang w:val="en-US" w:eastAsia="zh-CN"/>
        </w:rPr>
        <w:t>1</w:t>
      </w:r>
      <w:r>
        <w:rPr>
          <w:rFonts w:hint="eastAsia" w:ascii="黑体" w:hAnsi="黑体" w:eastAsia="黑体"/>
          <w:b/>
          <w:sz w:val="32"/>
          <w:szCs w:val="32"/>
        </w:rPr>
        <w:t>年度单位决算公开报表</w:t>
      </w:r>
    </w:p>
    <w:p>
      <w:pPr>
        <w:spacing w:line="560" w:lineRule="exact"/>
        <w:jc w:val="center"/>
        <w:rPr>
          <w:rFonts w:ascii="黑体" w:hAnsi="黑体" w:eastAsia="黑体"/>
          <w:b/>
          <w:sz w:val="32"/>
          <w:szCs w:val="32"/>
        </w:rPr>
      </w:pPr>
    </w:p>
    <w:p>
      <w:pPr>
        <w:spacing w:line="560" w:lineRule="exact"/>
        <w:ind w:firstLine="645"/>
        <w:rPr>
          <w:rFonts w:ascii="仿宋" w:hAnsi="仿宋" w:eastAsia="仿宋" w:cs="黑体"/>
          <w:sz w:val="32"/>
          <w:szCs w:val="32"/>
        </w:rPr>
      </w:pPr>
      <w:r>
        <w:rPr>
          <w:rFonts w:hint="eastAsia" w:ascii="仿宋" w:hAnsi="仿宋" w:eastAsia="仿宋" w:cs="黑体"/>
          <w:sz w:val="32"/>
          <w:szCs w:val="32"/>
        </w:rPr>
        <w:t>一、收入支出决算公开表（见正文附件）。</w:t>
      </w:r>
    </w:p>
    <w:p>
      <w:pPr>
        <w:spacing w:line="560" w:lineRule="exact"/>
        <w:ind w:firstLine="645"/>
        <w:rPr>
          <w:rFonts w:ascii="仿宋" w:hAnsi="仿宋" w:eastAsia="仿宋" w:cs="黑体"/>
          <w:sz w:val="32"/>
          <w:szCs w:val="32"/>
        </w:rPr>
      </w:pPr>
      <w:bookmarkStart w:id="24" w:name="_Toc23139_WPSOffice_Level2"/>
      <w:bookmarkStart w:id="25" w:name="_Toc26621_WPSOffice_Level2"/>
      <w:bookmarkStart w:id="26" w:name="_Toc25608_WPSOffice_Level2"/>
      <w:bookmarkStart w:id="27" w:name="_Toc28622_WPSOffice_Level2"/>
      <w:bookmarkStart w:id="28" w:name="_Toc14349_WPSOffice_Level2"/>
      <w:bookmarkStart w:id="29" w:name="_Toc30334_WPSOffice_Level2"/>
      <w:r>
        <w:rPr>
          <w:rFonts w:hint="eastAsia" w:ascii="仿宋" w:hAnsi="仿宋" w:eastAsia="仿宋" w:cs="黑体"/>
          <w:sz w:val="32"/>
          <w:szCs w:val="32"/>
        </w:rPr>
        <w:t>二、收入决算公开表（见正文附件）</w:t>
      </w:r>
      <w:bookmarkEnd w:id="24"/>
      <w:bookmarkEnd w:id="25"/>
      <w:bookmarkEnd w:id="26"/>
      <w:r>
        <w:rPr>
          <w:rFonts w:hint="eastAsia" w:ascii="仿宋" w:hAnsi="仿宋" w:eastAsia="仿宋" w:cs="黑体"/>
          <w:sz w:val="32"/>
          <w:szCs w:val="32"/>
        </w:rPr>
        <w:t>。</w:t>
      </w:r>
      <w:bookmarkEnd w:id="27"/>
      <w:bookmarkEnd w:id="28"/>
      <w:bookmarkEnd w:id="29"/>
    </w:p>
    <w:p>
      <w:pPr>
        <w:spacing w:line="560" w:lineRule="exact"/>
        <w:ind w:firstLine="645"/>
        <w:rPr>
          <w:rFonts w:ascii="仿宋" w:hAnsi="仿宋" w:eastAsia="仿宋" w:cs="黑体"/>
          <w:sz w:val="32"/>
          <w:szCs w:val="32"/>
        </w:rPr>
      </w:pPr>
      <w:bookmarkStart w:id="30" w:name="_Toc17626_WPSOffice_Level2"/>
      <w:bookmarkStart w:id="31" w:name="_Toc17858_WPSOffice_Level2"/>
      <w:bookmarkStart w:id="32" w:name="_Toc3262_WPSOffice_Level2"/>
      <w:bookmarkStart w:id="33" w:name="_Toc14658_WPSOffice_Level2"/>
      <w:bookmarkStart w:id="34" w:name="_Toc13854_WPSOffice_Level2"/>
      <w:bookmarkStart w:id="35" w:name="_Toc5489_WPSOffice_Level2"/>
      <w:r>
        <w:rPr>
          <w:rFonts w:hint="eastAsia" w:ascii="仿宋" w:hAnsi="仿宋" w:eastAsia="仿宋" w:cs="黑体"/>
          <w:sz w:val="32"/>
          <w:szCs w:val="32"/>
        </w:rPr>
        <w:t>三、支出决算公开表（见正文附件）</w:t>
      </w:r>
      <w:bookmarkEnd w:id="30"/>
      <w:bookmarkEnd w:id="31"/>
      <w:bookmarkEnd w:id="32"/>
      <w:r>
        <w:rPr>
          <w:rFonts w:hint="eastAsia" w:ascii="仿宋" w:hAnsi="仿宋" w:eastAsia="仿宋" w:cs="黑体"/>
          <w:sz w:val="32"/>
          <w:szCs w:val="32"/>
        </w:rPr>
        <w:t>。</w:t>
      </w:r>
      <w:bookmarkEnd w:id="33"/>
      <w:bookmarkEnd w:id="34"/>
      <w:bookmarkEnd w:id="35"/>
    </w:p>
    <w:p>
      <w:pPr>
        <w:spacing w:line="560" w:lineRule="exact"/>
        <w:ind w:firstLine="645"/>
        <w:rPr>
          <w:rFonts w:ascii="仿宋" w:hAnsi="仿宋" w:eastAsia="仿宋" w:cs="黑体"/>
          <w:sz w:val="32"/>
          <w:szCs w:val="32"/>
        </w:rPr>
      </w:pPr>
      <w:bookmarkStart w:id="36" w:name="_Toc23591_WPSOffice_Level2"/>
      <w:bookmarkStart w:id="37" w:name="_Toc21415_WPSOffice_Level2"/>
      <w:bookmarkStart w:id="38" w:name="_Toc13701_WPSOffice_Level2"/>
      <w:bookmarkStart w:id="39" w:name="_Toc7988_WPSOffice_Level2"/>
      <w:bookmarkStart w:id="40" w:name="_Toc23493_WPSOffice_Level2"/>
      <w:bookmarkStart w:id="41" w:name="_Toc4265_WPSOffice_Level2"/>
      <w:r>
        <w:rPr>
          <w:rFonts w:hint="eastAsia" w:ascii="仿宋" w:hAnsi="仿宋" w:eastAsia="仿宋" w:cs="黑体"/>
          <w:sz w:val="32"/>
          <w:szCs w:val="32"/>
        </w:rPr>
        <w:t>四、财政拨款收入支出决算公开表（见正文附件）</w:t>
      </w:r>
      <w:bookmarkEnd w:id="36"/>
      <w:bookmarkEnd w:id="37"/>
      <w:bookmarkEnd w:id="38"/>
      <w:r>
        <w:rPr>
          <w:rFonts w:hint="eastAsia" w:ascii="仿宋" w:hAnsi="仿宋" w:eastAsia="仿宋" w:cs="黑体"/>
          <w:sz w:val="32"/>
          <w:szCs w:val="32"/>
        </w:rPr>
        <w:t>。</w:t>
      </w:r>
      <w:bookmarkEnd w:id="39"/>
      <w:bookmarkEnd w:id="40"/>
      <w:bookmarkEnd w:id="41"/>
    </w:p>
    <w:p>
      <w:pPr>
        <w:spacing w:line="560" w:lineRule="exact"/>
        <w:ind w:firstLine="645"/>
        <w:rPr>
          <w:rFonts w:ascii="仿宋" w:hAnsi="仿宋" w:eastAsia="仿宋" w:cs="黑体"/>
          <w:sz w:val="32"/>
          <w:szCs w:val="32"/>
        </w:rPr>
      </w:pPr>
      <w:bookmarkStart w:id="42" w:name="_Toc7879_WPSOffice_Level2"/>
      <w:bookmarkStart w:id="43" w:name="_Toc22783_WPSOffice_Level2"/>
      <w:bookmarkStart w:id="44" w:name="_Toc23829_WPSOffice_Level2"/>
      <w:bookmarkStart w:id="45" w:name="_Toc25166_WPSOffice_Level2"/>
      <w:bookmarkStart w:id="46" w:name="_Toc2158_WPSOffice_Level2"/>
      <w:bookmarkStart w:id="47" w:name="_Toc13516_WPSOffice_Level2"/>
      <w:r>
        <w:rPr>
          <w:rFonts w:hint="eastAsia" w:ascii="仿宋" w:hAnsi="仿宋" w:eastAsia="仿宋" w:cs="黑体"/>
          <w:sz w:val="32"/>
          <w:szCs w:val="32"/>
        </w:rPr>
        <w:t>五、一般公共预算财政拨款收入支出决算</w:t>
      </w:r>
      <w:bookmarkEnd w:id="42"/>
      <w:bookmarkEnd w:id="43"/>
      <w:bookmarkEnd w:id="44"/>
      <w:bookmarkEnd w:id="45"/>
      <w:r>
        <w:rPr>
          <w:rFonts w:hint="eastAsia" w:ascii="仿宋" w:hAnsi="仿宋" w:eastAsia="仿宋" w:cs="黑体"/>
          <w:sz w:val="32"/>
          <w:szCs w:val="32"/>
        </w:rPr>
        <w:t>公开表</w:t>
      </w:r>
    </w:p>
    <w:p>
      <w:pPr>
        <w:spacing w:line="560" w:lineRule="exact"/>
        <w:ind w:firstLine="1302" w:firstLineChars="407"/>
        <w:rPr>
          <w:rFonts w:ascii="仿宋" w:hAnsi="仿宋" w:eastAsia="仿宋" w:cs="黑体"/>
          <w:sz w:val="32"/>
          <w:szCs w:val="32"/>
        </w:rPr>
      </w:pPr>
      <w:r>
        <w:rPr>
          <w:rFonts w:hint="eastAsia" w:ascii="仿宋" w:hAnsi="仿宋" w:eastAsia="仿宋" w:cs="黑体"/>
          <w:sz w:val="32"/>
          <w:szCs w:val="32"/>
        </w:rPr>
        <w:t>（见正文附件）</w:t>
      </w:r>
      <w:bookmarkEnd w:id="46"/>
      <w:bookmarkEnd w:id="47"/>
      <w:r>
        <w:rPr>
          <w:rFonts w:hint="eastAsia" w:ascii="仿宋" w:hAnsi="仿宋" w:eastAsia="仿宋" w:cs="黑体"/>
          <w:sz w:val="32"/>
          <w:szCs w:val="32"/>
        </w:rPr>
        <w:t>。</w:t>
      </w:r>
    </w:p>
    <w:p>
      <w:pPr>
        <w:spacing w:line="560" w:lineRule="exact"/>
        <w:ind w:firstLine="645"/>
        <w:rPr>
          <w:rFonts w:ascii="仿宋" w:hAnsi="仿宋" w:eastAsia="仿宋" w:cs="黑体"/>
          <w:sz w:val="32"/>
          <w:szCs w:val="32"/>
        </w:rPr>
      </w:pPr>
      <w:bookmarkStart w:id="48" w:name="_Toc8373_WPSOffice_Level2"/>
      <w:bookmarkStart w:id="49" w:name="_Toc5343_WPSOffice_Level2"/>
      <w:bookmarkStart w:id="50" w:name="_Toc25362_WPSOffice_Level2"/>
      <w:bookmarkStart w:id="51" w:name="_Toc2632_WPSOffice_Level2"/>
      <w:bookmarkStart w:id="52" w:name="_Toc17833_WPSOffice_Level2"/>
      <w:bookmarkStart w:id="53" w:name="_Toc17283_WPSOffice_Level2"/>
      <w:r>
        <w:rPr>
          <w:rFonts w:hint="eastAsia" w:ascii="仿宋" w:hAnsi="仿宋" w:eastAsia="仿宋" w:cs="黑体"/>
          <w:sz w:val="32"/>
          <w:szCs w:val="32"/>
        </w:rPr>
        <w:t>六、一般公共预算财政拨款基本支出决算</w:t>
      </w:r>
      <w:bookmarkEnd w:id="48"/>
      <w:bookmarkEnd w:id="49"/>
      <w:bookmarkEnd w:id="50"/>
      <w:bookmarkEnd w:id="51"/>
      <w:bookmarkEnd w:id="52"/>
      <w:bookmarkEnd w:id="53"/>
      <w:r>
        <w:rPr>
          <w:rFonts w:hint="eastAsia" w:ascii="仿宋" w:hAnsi="仿宋" w:eastAsia="仿宋" w:cs="黑体"/>
          <w:sz w:val="32"/>
          <w:szCs w:val="32"/>
        </w:rPr>
        <w:t>公开表</w:t>
      </w:r>
    </w:p>
    <w:p>
      <w:pPr>
        <w:spacing w:line="560" w:lineRule="exact"/>
        <w:ind w:firstLine="1280" w:firstLineChars="40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ind w:left="1210" w:leftChars="304" w:hanging="480" w:hangingChars="150"/>
        <w:rPr>
          <w:rFonts w:ascii="仿宋" w:hAnsi="仿宋" w:eastAsia="仿宋" w:cs="黑体"/>
          <w:sz w:val="32"/>
          <w:szCs w:val="32"/>
        </w:rPr>
      </w:pPr>
      <w:bookmarkStart w:id="54" w:name="_Toc5594_WPSOffice_Level2"/>
      <w:bookmarkStart w:id="55" w:name="_Toc6020_WPSOffice_Level2"/>
      <w:bookmarkStart w:id="56" w:name="_Toc21310_WPSOffice_Level2"/>
      <w:bookmarkStart w:id="57" w:name="_Toc1533_WPSOffice_Level2"/>
      <w:bookmarkStart w:id="58" w:name="_Toc13345_WPSOffice_Level2"/>
      <w:bookmarkStart w:id="59" w:name="_Toc11799_WPSOffice_Level2"/>
      <w:r>
        <w:rPr>
          <w:rFonts w:hint="eastAsia" w:ascii="仿宋" w:hAnsi="仿宋" w:eastAsia="仿宋" w:cs="黑体"/>
          <w:sz w:val="32"/>
          <w:szCs w:val="32"/>
        </w:rPr>
        <w:t>七、政府性基金预算财政拨款收入支出决算</w:t>
      </w:r>
      <w:bookmarkEnd w:id="54"/>
      <w:bookmarkEnd w:id="55"/>
      <w:bookmarkEnd w:id="56"/>
      <w:bookmarkEnd w:id="57"/>
      <w:bookmarkEnd w:id="58"/>
      <w:bookmarkEnd w:id="59"/>
      <w:r>
        <w:rPr>
          <w:rFonts w:hint="eastAsia" w:ascii="仿宋" w:hAnsi="仿宋" w:eastAsia="仿宋" w:cs="黑体"/>
          <w:sz w:val="32"/>
          <w:szCs w:val="32"/>
        </w:rPr>
        <w:t>公开表</w:t>
      </w:r>
    </w:p>
    <w:p>
      <w:pPr>
        <w:spacing w:line="560" w:lineRule="exact"/>
        <w:ind w:left="1459"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ind w:left="1210" w:leftChars="304" w:hanging="480" w:hangingChars="150"/>
        <w:rPr>
          <w:rFonts w:ascii="仿宋" w:hAnsi="仿宋" w:eastAsia="仿宋" w:cs="黑体"/>
          <w:sz w:val="32"/>
          <w:szCs w:val="32"/>
        </w:rPr>
      </w:pPr>
      <w:r>
        <w:rPr>
          <w:rFonts w:hint="eastAsia" w:ascii="仿宋" w:hAnsi="仿宋" w:eastAsia="仿宋" w:cs="黑体"/>
          <w:sz w:val="32"/>
          <w:szCs w:val="32"/>
        </w:rPr>
        <w:t>八、国有资本经营预算财政拨款收入支出决算公开表</w:t>
      </w:r>
    </w:p>
    <w:p>
      <w:pPr>
        <w:spacing w:line="560" w:lineRule="exact"/>
        <w:ind w:left="1459" w:leftChars="608" w:firstLine="160" w:firstLineChars="50"/>
        <w:rPr>
          <w:rFonts w:ascii="仿宋" w:hAnsi="仿宋" w:eastAsia="仿宋" w:cs="黑体"/>
          <w:sz w:val="32"/>
          <w:szCs w:val="32"/>
        </w:rPr>
      </w:pPr>
      <w:r>
        <w:rPr>
          <w:rFonts w:hint="eastAsia" w:ascii="仿宋" w:hAnsi="仿宋" w:eastAsia="仿宋" w:cs="黑体"/>
          <w:sz w:val="32"/>
          <w:szCs w:val="32"/>
        </w:rPr>
        <w:t>（见正文附件）。</w:t>
      </w:r>
    </w:p>
    <w:p>
      <w:pPr>
        <w:spacing w:line="560" w:lineRule="exact"/>
        <w:rPr>
          <w:rFonts w:ascii="仿宋" w:hAnsi="仿宋" w:eastAsia="仿宋" w:cs="黑体"/>
          <w:sz w:val="32"/>
          <w:szCs w:val="32"/>
        </w:rPr>
      </w:pPr>
      <w:bookmarkStart w:id="60" w:name="_Toc9377_WPSOffice_Level2"/>
      <w:bookmarkStart w:id="61" w:name="_Toc19961_WPSOffice_Level2"/>
      <w:bookmarkStart w:id="62" w:name="_Toc29886_WPSOffice_Level2"/>
      <w:bookmarkStart w:id="63" w:name="_Toc1820_WPSOffice_Level2"/>
      <w:r>
        <w:rPr>
          <w:rFonts w:hint="eastAsia" w:ascii="仿宋" w:hAnsi="仿宋" w:eastAsia="仿宋" w:cs="黑体"/>
          <w:sz w:val="32"/>
          <w:szCs w:val="32"/>
        </w:rPr>
        <w:t xml:space="preserve">     九、一般公共预算财政拨款“三公”经费支出决算</w:t>
      </w:r>
    </w:p>
    <w:bookmarkEnd w:id="60"/>
    <w:bookmarkEnd w:id="61"/>
    <w:bookmarkEnd w:id="62"/>
    <w:bookmarkEnd w:id="63"/>
    <w:p>
      <w:pPr>
        <w:spacing w:line="560" w:lineRule="exact"/>
        <w:rPr>
          <w:rFonts w:ascii="仿宋" w:hAnsi="仿宋" w:eastAsia="仿宋" w:cs="黑体"/>
          <w:sz w:val="32"/>
          <w:szCs w:val="32"/>
        </w:rPr>
      </w:pPr>
      <w:r>
        <w:rPr>
          <w:rFonts w:hint="eastAsia" w:ascii="仿宋" w:hAnsi="仿宋" w:eastAsia="仿宋" w:cs="黑体"/>
          <w:sz w:val="32"/>
          <w:szCs w:val="32"/>
        </w:rPr>
        <w:t>公开表（见正文附件）。</w:t>
      </w:r>
    </w:p>
    <w:p>
      <w:pPr>
        <w:spacing w:line="560" w:lineRule="exact"/>
        <w:rPr>
          <w:rFonts w:ascii="仿宋" w:hAnsi="仿宋" w:eastAsia="仿宋" w:cs="黑体"/>
          <w:w w:val="96"/>
          <w:sz w:val="32"/>
          <w:szCs w:val="32"/>
        </w:rPr>
      </w:pPr>
      <w:r>
        <w:rPr>
          <w:rFonts w:hint="eastAsia" w:ascii="仿宋" w:hAnsi="仿宋" w:eastAsia="仿宋" w:cs="黑体"/>
          <w:w w:val="96"/>
          <w:sz w:val="32"/>
          <w:szCs w:val="32"/>
        </w:rPr>
        <w:t xml:space="preserve">     十、政府性基金预算财政拨款“三公”经费支出决算</w:t>
      </w:r>
    </w:p>
    <w:p>
      <w:pPr>
        <w:spacing w:line="560" w:lineRule="exact"/>
        <w:rPr>
          <w:rFonts w:ascii="仿宋" w:hAnsi="仿宋" w:eastAsia="仿宋" w:cs="黑体"/>
          <w:sz w:val="32"/>
          <w:szCs w:val="32"/>
        </w:rPr>
      </w:pPr>
      <w:r>
        <w:rPr>
          <w:rFonts w:hint="eastAsia" w:ascii="仿宋" w:hAnsi="仿宋" w:eastAsia="仿宋" w:cs="黑体"/>
          <w:w w:val="96"/>
          <w:sz w:val="32"/>
          <w:szCs w:val="32"/>
        </w:rPr>
        <w:t xml:space="preserve">          公开表</w:t>
      </w:r>
      <w:r>
        <w:rPr>
          <w:rFonts w:hint="eastAsia" w:ascii="仿宋" w:hAnsi="仿宋" w:eastAsia="仿宋" w:cs="黑体"/>
          <w:sz w:val="32"/>
          <w:szCs w:val="32"/>
        </w:rPr>
        <w:t>（见正文附件）。</w:t>
      </w:r>
    </w:p>
    <w:p>
      <w:pPr>
        <w:spacing w:line="560" w:lineRule="exact"/>
        <w:ind w:left="1494" w:hanging="1504" w:hangingChars="490"/>
        <w:rPr>
          <w:rFonts w:ascii="仿宋" w:hAnsi="仿宋" w:eastAsia="仿宋" w:cs="黑体"/>
          <w:w w:val="96"/>
          <w:sz w:val="32"/>
          <w:szCs w:val="32"/>
        </w:rPr>
      </w:pPr>
      <w:r>
        <w:rPr>
          <w:rFonts w:hint="eastAsia" w:ascii="仿宋" w:hAnsi="仿宋" w:eastAsia="仿宋" w:cs="黑体"/>
          <w:w w:val="96"/>
          <w:sz w:val="32"/>
          <w:szCs w:val="32"/>
        </w:rPr>
        <w:t xml:space="preserve">     十一、国有资本经营预算财政拨款“三公”经费支出决算公开表</w:t>
      </w:r>
      <w:r>
        <w:rPr>
          <w:rFonts w:hint="eastAsia" w:ascii="仿宋" w:hAnsi="仿宋" w:eastAsia="仿宋" w:cs="黑体"/>
          <w:sz w:val="32"/>
          <w:szCs w:val="32"/>
        </w:rPr>
        <w:t>（见正文附件）。</w:t>
      </w:r>
    </w:p>
    <w:p>
      <w:pPr>
        <w:spacing w:line="560" w:lineRule="exact"/>
        <w:rPr>
          <w:rFonts w:ascii="仿宋" w:hAnsi="仿宋" w:eastAsia="仿宋" w:cs="黑体"/>
          <w:b/>
          <w:sz w:val="32"/>
          <w:szCs w:val="32"/>
        </w:rPr>
      </w:pPr>
    </w:p>
    <w:p>
      <w:pPr>
        <w:spacing w:line="560" w:lineRule="exact"/>
        <w:jc w:val="center"/>
        <w:rPr>
          <w:rFonts w:ascii="黑体" w:hAnsi="黑体" w:eastAsia="黑体"/>
          <w:b/>
          <w:sz w:val="32"/>
          <w:szCs w:val="32"/>
        </w:rPr>
      </w:pPr>
      <w:r>
        <w:rPr>
          <w:rFonts w:hint="eastAsia" w:ascii="黑体" w:hAnsi="黑体" w:eastAsia="黑体"/>
          <w:b/>
          <w:sz w:val="32"/>
          <w:szCs w:val="32"/>
        </w:rPr>
        <w:t>第三部分  儋州航道所202</w:t>
      </w:r>
      <w:r>
        <w:rPr>
          <w:rFonts w:hint="eastAsia" w:ascii="黑体" w:hAnsi="黑体" w:eastAsia="黑体"/>
          <w:b/>
          <w:sz w:val="32"/>
          <w:szCs w:val="32"/>
          <w:lang w:val="en-US" w:eastAsia="zh-CN"/>
        </w:rPr>
        <w:t>1</w:t>
      </w:r>
      <w:r>
        <w:rPr>
          <w:rFonts w:hint="eastAsia" w:ascii="黑体" w:hAnsi="黑体" w:eastAsia="黑体"/>
          <w:b/>
          <w:sz w:val="32"/>
          <w:szCs w:val="32"/>
        </w:rPr>
        <w:t>年度单位决算情况说明</w:t>
      </w:r>
      <w:bookmarkEnd w:id="18"/>
      <w:bookmarkEnd w:id="19"/>
      <w:bookmarkEnd w:id="20"/>
      <w:bookmarkEnd w:id="21"/>
      <w:bookmarkEnd w:id="22"/>
      <w:bookmarkEnd w:id="23"/>
    </w:p>
    <w:p>
      <w:pPr>
        <w:spacing w:line="560" w:lineRule="exact"/>
        <w:jc w:val="center"/>
        <w:rPr>
          <w:rFonts w:ascii="黑体" w:hAnsi="黑体" w:eastAsia="黑体"/>
          <w:b/>
          <w:sz w:val="32"/>
          <w:szCs w:val="32"/>
        </w:rPr>
      </w:pPr>
    </w:p>
    <w:p>
      <w:pPr>
        <w:snapToGrid w:val="0"/>
        <w:spacing w:line="500" w:lineRule="exact"/>
        <w:ind w:firstLine="643" w:firstLineChars="200"/>
        <w:rPr>
          <w:rFonts w:ascii="仿宋" w:hAnsi="仿宋" w:eastAsia="仿宋"/>
          <w:color w:val="000000"/>
          <w:sz w:val="32"/>
          <w:szCs w:val="32"/>
        </w:rPr>
      </w:pPr>
      <w:r>
        <w:rPr>
          <w:rFonts w:hint="eastAsia" w:ascii="仿宋" w:hAnsi="仿宋" w:eastAsia="仿宋" w:cs="黑体"/>
          <w:b/>
          <w:bCs/>
          <w:sz w:val="32"/>
          <w:szCs w:val="32"/>
        </w:rPr>
        <w:t>一、收入支出决算总体情况说明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年度收、支总计</w:t>
      </w:r>
      <w:r>
        <w:rPr>
          <w:rFonts w:hint="eastAsia" w:ascii="仿宋" w:hAnsi="仿宋" w:eastAsia="仿宋"/>
          <w:sz w:val="32"/>
          <w:szCs w:val="32"/>
          <w:lang w:val="en-US" w:eastAsia="zh-CN"/>
        </w:rPr>
        <w:t>321.76</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年度27</w:t>
      </w:r>
      <w:r>
        <w:rPr>
          <w:rFonts w:hint="eastAsia" w:ascii="仿宋" w:hAnsi="仿宋" w:eastAsia="仿宋"/>
          <w:sz w:val="32"/>
          <w:szCs w:val="32"/>
          <w:lang w:val="en-US" w:eastAsia="zh-CN"/>
        </w:rPr>
        <w:t>0.64</w:t>
      </w:r>
      <w:r>
        <w:rPr>
          <w:rFonts w:hint="eastAsia" w:ascii="仿宋" w:hAnsi="仿宋" w:eastAsia="仿宋"/>
          <w:sz w:val="32"/>
          <w:szCs w:val="32"/>
        </w:rPr>
        <w:t>万元相比，收入、支出总计</w:t>
      </w:r>
      <w:r>
        <w:rPr>
          <w:rFonts w:hint="eastAsia" w:ascii="仿宋" w:hAnsi="仿宋" w:eastAsia="仿宋"/>
          <w:sz w:val="32"/>
          <w:szCs w:val="32"/>
          <w:lang w:eastAsia="zh-CN"/>
        </w:rPr>
        <w:t>增加</w:t>
      </w:r>
      <w:r>
        <w:rPr>
          <w:rFonts w:hint="eastAsia" w:ascii="仿宋" w:hAnsi="仿宋" w:eastAsia="仿宋"/>
          <w:sz w:val="32"/>
          <w:szCs w:val="32"/>
          <w:lang w:val="en-US" w:eastAsia="zh-CN"/>
        </w:rPr>
        <w:t>51.12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15.88</w:t>
      </w:r>
      <w:r>
        <w:rPr>
          <w:rFonts w:hint="eastAsia" w:ascii="仿宋" w:hAnsi="仿宋" w:eastAsia="仿宋"/>
          <w:sz w:val="32"/>
          <w:szCs w:val="32"/>
        </w:rPr>
        <w:t>%。主要原因：</w:t>
      </w:r>
      <w:r>
        <w:rPr>
          <w:rFonts w:hint="eastAsia" w:ascii="仿宋" w:hAnsi="仿宋" w:eastAsia="仿宋"/>
          <w:sz w:val="32"/>
          <w:szCs w:val="32"/>
          <w:lang w:eastAsia="zh-CN"/>
        </w:rPr>
        <w:t>航标维护</w:t>
      </w:r>
      <w:r>
        <w:rPr>
          <w:rFonts w:hint="eastAsia" w:ascii="仿宋" w:hAnsi="仿宋" w:eastAsia="仿宋"/>
          <w:sz w:val="32"/>
          <w:szCs w:val="32"/>
        </w:rPr>
        <w:t>经费比上年度</w:t>
      </w:r>
      <w:r>
        <w:rPr>
          <w:rFonts w:hint="eastAsia" w:ascii="仿宋" w:hAnsi="仿宋" w:eastAsia="仿宋"/>
          <w:sz w:val="32"/>
          <w:szCs w:val="32"/>
          <w:lang w:eastAsia="zh-CN"/>
        </w:rPr>
        <w:t>增加</w:t>
      </w:r>
      <w:r>
        <w:rPr>
          <w:rFonts w:hint="eastAsia" w:ascii="仿宋" w:hAnsi="仿宋" w:eastAsia="仿宋"/>
          <w:sz w:val="32"/>
          <w:szCs w:val="32"/>
        </w:rPr>
        <w:t>。使用非财政拨款结余0万元，与20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年度决算数持平。结余分配0万元，与20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spacing w:line="560" w:lineRule="exact"/>
        <w:ind w:firstLine="643" w:firstLineChars="200"/>
        <w:rPr>
          <w:rFonts w:ascii="仿宋" w:hAnsi="仿宋" w:eastAsia="仿宋"/>
          <w:sz w:val="32"/>
          <w:szCs w:val="32"/>
        </w:rPr>
      </w:pPr>
      <w:r>
        <w:rPr>
          <w:rFonts w:hint="eastAsia" w:ascii="仿宋" w:hAnsi="仿宋" w:eastAsia="仿宋" w:cs="黑体"/>
          <w:b/>
          <w:bCs/>
          <w:sz w:val="32"/>
          <w:szCs w:val="32"/>
        </w:rPr>
        <w:t>二、收入决算情况说明</w:t>
      </w:r>
      <w:r>
        <w:rPr>
          <w:rFonts w:hint="eastAsia" w:ascii="仿宋" w:hAnsi="仿宋" w:eastAsia="仿宋" w:cs="黑体"/>
          <w:b/>
          <w:bCs/>
          <w:sz w:val="32"/>
          <w:szCs w:val="32"/>
        </w:rPr>
        <w:br w:type="textWrapping"/>
      </w:r>
      <w:r>
        <w:rPr>
          <w:rFonts w:hint="eastAsia" w:ascii="仿宋" w:hAnsi="仿宋" w:eastAsia="仿宋"/>
          <w:sz w:val="32"/>
          <w:szCs w:val="32"/>
        </w:rPr>
        <w:t xml:space="preserve">    本年收入合计</w:t>
      </w:r>
      <w:r>
        <w:rPr>
          <w:rFonts w:hint="eastAsia" w:ascii="仿宋" w:hAnsi="仿宋" w:eastAsia="仿宋"/>
          <w:sz w:val="32"/>
          <w:szCs w:val="32"/>
          <w:lang w:val="en-US" w:eastAsia="zh-CN"/>
        </w:rPr>
        <w:t>321.76</w:t>
      </w:r>
      <w:r>
        <w:rPr>
          <w:rFonts w:hint="eastAsia" w:ascii="仿宋" w:hAnsi="仿宋" w:eastAsia="仿宋"/>
          <w:sz w:val="32"/>
          <w:szCs w:val="32"/>
        </w:rPr>
        <w:t>万元，其中：财政拨款收入</w:t>
      </w:r>
      <w:r>
        <w:rPr>
          <w:rFonts w:hint="eastAsia" w:ascii="仿宋" w:hAnsi="仿宋" w:eastAsia="仿宋"/>
          <w:sz w:val="32"/>
          <w:szCs w:val="32"/>
          <w:lang w:val="en-US" w:eastAsia="zh-CN"/>
        </w:rPr>
        <w:t>321.76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%；上级补助收入0 万元，占0%；事业收入0万元，占0%；经营收入0万元，占0%；附属单位上缴收入0万元，占0%；其他收入0万元，占0%。</w:t>
      </w:r>
    </w:p>
    <w:p>
      <w:pPr>
        <w:spacing w:line="560" w:lineRule="exact"/>
        <w:ind w:firstLine="630" w:firstLineChars="196"/>
        <w:rPr>
          <w:rFonts w:ascii="仿宋" w:hAnsi="仿宋" w:eastAsia="仿宋" w:cs="黑体"/>
          <w:b/>
          <w:bCs/>
          <w:sz w:val="32"/>
          <w:szCs w:val="32"/>
        </w:rPr>
      </w:pPr>
      <w:r>
        <w:rPr>
          <w:rFonts w:hint="eastAsia" w:ascii="仿宋" w:hAnsi="仿宋" w:eastAsia="仿宋" w:cs="黑体"/>
          <w:b/>
          <w:bCs/>
          <w:sz w:val="32"/>
          <w:szCs w:val="32"/>
        </w:rPr>
        <w:t>三、支出决算情况说明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本年支出合计</w:t>
      </w:r>
      <w:r>
        <w:rPr>
          <w:rFonts w:hint="eastAsia" w:ascii="仿宋" w:hAnsi="仿宋" w:eastAsia="仿宋"/>
          <w:sz w:val="32"/>
          <w:szCs w:val="32"/>
          <w:lang w:val="en-US" w:eastAsia="zh-CN"/>
        </w:rPr>
        <w:t>321.76</w:t>
      </w:r>
      <w:r>
        <w:rPr>
          <w:rFonts w:hint="eastAsia" w:ascii="仿宋" w:hAnsi="仿宋" w:eastAsia="仿宋"/>
          <w:sz w:val="32"/>
          <w:szCs w:val="32"/>
        </w:rPr>
        <w:t>万元，其中：基本支出137.</w:t>
      </w:r>
      <w:r>
        <w:rPr>
          <w:rFonts w:hint="eastAsia" w:ascii="仿宋" w:hAnsi="仿宋" w:eastAsia="仿宋"/>
          <w:sz w:val="32"/>
          <w:szCs w:val="32"/>
          <w:lang w:val="en-US" w:eastAsia="zh-CN"/>
        </w:rPr>
        <w:t>73</w:t>
      </w:r>
      <w:r>
        <w:rPr>
          <w:rFonts w:hint="eastAsia" w:ascii="仿宋" w:hAnsi="仿宋" w:eastAsia="仿宋"/>
          <w:sz w:val="32"/>
          <w:szCs w:val="32"/>
        </w:rPr>
        <w:t>万元，占</w:t>
      </w:r>
      <w:r>
        <w:rPr>
          <w:rFonts w:hint="eastAsia" w:ascii="仿宋" w:hAnsi="仿宋" w:eastAsia="仿宋"/>
          <w:sz w:val="32"/>
          <w:szCs w:val="32"/>
          <w:lang w:val="en-US" w:eastAsia="zh-CN"/>
        </w:rPr>
        <w:t>42.81</w:t>
      </w:r>
      <w:r>
        <w:rPr>
          <w:rFonts w:hint="eastAsia" w:ascii="仿宋" w:hAnsi="仿宋" w:eastAsia="仿宋"/>
          <w:sz w:val="32"/>
          <w:szCs w:val="32"/>
        </w:rPr>
        <w:t>%；项目支出1</w:t>
      </w:r>
      <w:r>
        <w:rPr>
          <w:rFonts w:hint="eastAsia" w:ascii="仿宋" w:hAnsi="仿宋" w:eastAsia="仿宋"/>
          <w:sz w:val="32"/>
          <w:szCs w:val="32"/>
          <w:lang w:val="en-US" w:eastAsia="zh-CN"/>
        </w:rPr>
        <w:t>84.03</w:t>
      </w:r>
      <w:r>
        <w:rPr>
          <w:rFonts w:hint="eastAsia" w:ascii="仿宋" w:hAnsi="仿宋" w:eastAsia="仿宋"/>
          <w:sz w:val="32"/>
          <w:szCs w:val="32"/>
        </w:rPr>
        <w:t>万元，占</w:t>
      </w:r>
      <w:r>
        <w:rPr>
          <w:rFonts w:hint="eastAsia" w:ascii="仿宋" w:hAnsi="仿宋" w:eastAsia="仿宋"/>
          <w:sz w:val="32"/>
          <w:szCs w:val="32"/>
          <w:lang w:val="en-US" w:eastAsia="zh-CN"/>
        </w:rPr>
        <w:t>57.19</w:t>
      </w:r>
      <w:r>
        <w:rPr>
          <w:rFonts w:hint="eastAsia" w:ascii="仿宋" w:hAnsi="仿宋" w:eastAsia="仿宋"/>
          <w:sz w:val="32"/>
          <w:szCs w:val="32"/>
        </w:rPr>
        <w:t>%；上缴上级支出0万元，占0%；经营支出0万元，占0%；对附属单位补助支出0万元，占0%。</w:t>
      </w:r>
    </w:p>
    <w:p>
      <w:pPr>
        <w:spacing w:line="560" w:lineRule="exact"/>
        <w:ind w:firstLine="630" w:firstLineChars="196"/>
        <w:rPr>
          <w:rFonts w:ascii="仿宋" w:hAnsi="仿宋" w:eastAsia="仿宋" w:cs="黑体"/>
          <w:b/>
          <w:bCs/>
          <w:sz w:val="32"/>
          <w:szCs w:val="32"/>
        </w:rPr>
      </w:pPr>
      <w:r>
        <w:rPr>
          <w:rFonts w:hint="eastAsia" w:ascii="仿宋" w:hAnsi="仿宋" w:eastAsia="仿宋" w:cs="黑体"/>
          <w:b/>
          <w:bCs/>
          <w:sz w:val="32"/>
          <w:szCs w:val="32"/>
        </w:rPr>
        <w:t>四、财政拨款收入支出决算总体情况说明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年度财政拨款收入、支出总计</w:t>
      </w:r>
      <w:r>
        <w:rPr>
          <w:rFonts w:hint="eastAsia" w:ascii="仿宋" w:hAnsi="仿宋" w:eastAsia="仿宋"/>
          <w:sz w:val="32"/>
          <w:szCs w:val="32"/>
          <w:lang w:val="en-US" w:eastAsia="zh-CN"/>
        </w:rPr>
        <w:t>321.76</w:t>
      </w:r>
      <w:r>
        <w:rPr>
          <w:rFonts w:hint="eastAsia" w:ascii="仿宋" w:hAnsi="仿宋" w:eastAsia="仿宋"/>
          <w:sz w:val="32"/>
          <w:szCs w:val="32"/>
        </w:rPr>
        <w:t>万元。与20</w:t>
      </w:r>
      <w:r>
        <w:rPr>
          <w:rFonts w:hint="eastAsia" w:ascii="仿宋" w:hAnsi="仿宋" w:eastAsia="仿宋"/>
          <w:sz w:val="32"/>
          <w:szCs w:val="32"/>
          <w:lang w:val="en-US" w:eastAsia="zh-CN"/>
        </w:rPr>
        <w:t>20</w:t>
      </w:r>
      <w:r>
        <w:rPr>
          <w:rFonts w:hint="eastAsia" w:ascii="仿宋" w:hAnsi="仿宋" w:eastAsia="仿宋"/>
          <w:sz w:val="32"/>
          <w:szCs w:val="32"/>
        </w:rPr>
        <w:t>年度27</w:t>
      </w:r>
      <w:r>
        <w:rPr>
          <w:rFonts w:hint="eastAsia" w:ascii="仿宋" w:hAnsi="仿宋" w:eastAsia="仿宋"/>
          <w:sz w:val="32"/>
          <w:szCs w:val="32"/>
          <w:lang w:val="en-US" w:eastAsia="zh-CN"/>
        </w:rPr>
        <w:t>0.64</w:t>
      </w:r>
      <w:r>
        <w:rPr>
          <w:rFonts w:hint="eastAsia" w:ascii="仿宋" w:hAnsi="仿宋" w:eastAsia="仿宋"/>
          <w:sz w:val="32"/>
          <w:szCs w:val="32"/>
        </w:rPr>
        <w:t>万元相比，财政拨款收入、支出总计各</w:t>
      </w:r>
      <w:r>
        <w:rPr>
          <w:rFonts w:hint="eastAsia" w:ascii="仿宋" w:hAnsi="仿宋" w:eastAsia="仿宋"/>
          <w:sz w:val="32"/>
          <w:szCs w:val="32"/>
          <w:lang w:eastAsia="zh-CN"/>
        </w:rPr>
        <w:t>增加</w:t>
      </w:r>
      <w:r>
        <w:rPr>
          <w:rFonts w:hint="eastAsia" w:ascii="仿宋" w:hAnsi="仿宋" w:eastAsia="仿宋"/>
          <w:sz w:val="32"/>
          <w:szCs w:val="32"/>
          <w:lang w:val="en-US" w:eastAsia="zh-CN"/>
        </w:rPr>
        <w:t>51.12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15.8</w:t>
      </w:r>
      <w:r>
        <w:rPr>
          <w:rFonts w:hint="eastAsia" w:ascii="仿宋" w:hAnsi="仿宋" w:eastAsia="仿宋"/>
          <w:sz w:val="32"/>
          <w:szCs w:val="32"/>
        </w:rPr>
        <w:t>8%。主要原因：</w:t>
      </w:r>
      <w:r>
        <w:rPr>
          <w:rFonts w:hint="eastAsia" w:ascii="仿宋" w:hAnsi="仿宋" w:eastAsia="仿宋"/>
          <w:sz w:val="32"/>
          <w:szCs w:val="32"/>
          <w:lang w:eastAsia="zh-CN"/>
        </w:rPr>
        <w:t>航标维护</w:t>
      </w:r>
      <w:r>
        <w:rPr>
          <w:rFonts w:hint="eastAsia" w:ascii="仿宋" w:hAnsi="仿宋" w:eastAsia="仿宋"/>
          <w:sz w:val="32"/>
          <w:szCs w:val="32"/>
        </w:rPr>
        <w:t>经费比上年度</w:t>
      </w:r>
      <w:r>
        <w:rPr>
          <w:rFonts w:hint="eastAsia" w:ascii="仿宋" w:hAnsi="仿宋" w:eastAsia="仿宋"/>
          <w:sz w:val="32"/>
          <w:szCs w:val="32"/>
          <w:lang w:eastAsia="zh-CN"/>
        </w:rPr>
        <w:t>增加</w:t>
      </w:r>
      <w:r>
        <w:rPr>
          <w:rFonts w:hint="eastAsia" w:ascii="仿宋" w:hAnsi="仿宋" w:eastAsia="仿宋"/>
          <w:sz w:val="32"/>
          <w:szCs w:val="32"/>
        </w:rPr>
        <w:t>。财政拨款年初结转结余0万元，与20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年度决算数持平。财政拨款年末结转结余0万元，与20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五、一般公共预算财政拨款支出决算情况说明</w:t>
      </w:r>
    </w:p>
    <w:p>
      <w:pPr>
        <w:spacing w:line="560" w:lineRule="exact"/>
        <w:ind w:firstLine="643" w:firstLineChars="200"/>
        <w:rPr>
          <w:rFonts w:ascii="楷体" w:hAnsi="楷体" w:eastAsia="楷体" w:cs="楷体"/>
          <w:b/>
          <w:sz w:val="32"/>
          <w:szCs w:val="32"/>
        </w:rPr>
      </w:pPr>
      <w:bookmarkStart w:id="64" w:name="_Toc17398_WPSOffice_Level2"/>
      <w:bookmarkStart w:id="65" w:name="_Toc13694_WPSOffice_Level2"/>
      <w:bookmarkStart w:id="66" w:name="_Toc21737_WPSOffice_Level2"/>
      <w:bookmarkStart w:id="67" w:name="_Toc23005_WPSOffice_Level2"/>
      <w:bookmarkStart w:id="68" w:name="_Toc19665_WPSOffice_Level2"/>
      <w:bookmarkStart w:id="69" w:name="_Toc9989_WPSOffice_Level2"/>
      <w:r>
        <w:rPr>
          <w:rFonts w:hint="eastAsia" w:ascii="楷体" w:hAnsi="楷体" w:eastAsia="楷体" w:cs="楷体"/>
          <w:b/>
          <w:sz w:val="32"/>
          <w:szCs w:val="32"/>
        </w:rPr>
        <w:t>（一）一般公共预算财政拨款支出决算总体情况</w:t>
      </w:r>
      <w:bookmarkEnd w:id="64"/>
      <w:bookmarkEnd w:id="65"/>
      <w:r>
        <w:rPr>
          <w:rFonts w:hint="eastAsia" w:ascii="楷体" w:hAnsi="楷体" w:eastAsia="楷体" w:cs="楷体"/>
          <w:b/>
          <w:sz w:val="32"/>
          <w:szCs w:val="32"/>
        </w:rPr>
        <w:t>。</w:t>
      </w:r>
      <w:bookmarkEnd w:id="66"/>
      <w:bookmarkEnd w:id="67"/>
      <w:bookmarkEnd w:id="68"/>
      <w:bookmarkEnd w:id="69"/>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w:t>
      </w:r>
      <w:r>
        <w:rPr>
          <w:rFonts w:hint="eastAsia" w:ascii="仿宋" w:hAnsi="仿宋" w:eastAsia="仿宋"/>
          <w:sz w:val="32"/>
          <w:szCs w:val="32"/>
          <w:lang w:val="en-US" w:eastAsia="zh-CN"/>
        </w:rPr>
        <w:t>321.76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hint="eastAsia" w:ascii="仿宋" w:hAnsi="仿宋" w:eastAsia="仿宋"/>
          <w:sz w:val="32"/>
          <w:szCs w:val="32"/>
        </w:rPr>
        <w:t>%。与20</w:t>
      </w:r>
      <w:r>
        <w:rPr>
          <w:rFonts w:hint="eastAsia" w:ascii="仿宋" w:hAnsi="仿宋" w:eastAsia="仿宋"/>
          <w:sz w:val="32"/>
          <w:szCs w:val="32"/>
          <w:lang w:val="en-US" w:eastAsia="zh-CN"/>
        </w:rPr>
        <w:t>20</w:t>
      </w:r>
      <w:r>
        <w:rPr>
          <w:rFonts w:hint="eastAsia" w:ascii="仿宋" w:hAnsi="仿宋" w:eastAsia="仿宋"/>
          <w:sz w:val="32"/>
          <w:szCs w:val="32"/>
        </w:rPr>
        <w:t>年度27</w:t>
      </w:r>
      <w:r>
        <w:rPr>
          <w:rFonts w:hint="eastAsia" w:ascii="仿宋" w:hAnsi="仿宋" w:eastAsia="仿宋"/>
          <w:sz w:val="32"/>
          <w:szCs w:val="32"/>
          <w:lang w:val="en-US" w:eastAsia="zh-CN"/>
        </w:rPr>
        <w:t>0.64</w:t>
      </w:r>
      <w:r>
        <w:rPr>
          <w:rFonts w:hint="eastAsia" w:ascii="仿宋" w:hAnsi="仿宋" w:eastAsia="仿宋"/>
          <w:sz w:val="32"/>
          <w:szCs w:val="32"/>
        </w:rPr>
        <w:t>万元相比，一般公共预算财政拨款支出</w:t>
      </w:r>
      <w:r>
        <w:rPr>
          <w:rFonts w:hint="eastAsia" w:ascii="仿宋" w:hAnsi="仿宋" w:eastAsia="仿宋"/>
          <w:sz w:val="32"/>
          <w:szCs w:val="32"/>
          <w:lang w:eastAsia="zh-CN"/>
        </w:rPr>
        <w:t>增加</w:t>
      </w:r>
      <w:r>
        <w:rPr>
          <w:rFonts w:hint="eastAsia" w:ascii="仿宋" w:hAnsi="仿宋" w:eastAsia="仿宋"/>
          <w:sz w:val="32"/>
          <w:szCs w:val="32"/>
          <w:lang w:val="en-US" w:eastAsia="zh-CN"/>
        </w:rPr>
        <w:t>51.12</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15.88</w:t>
      </w:r>
      <w:r>
        <w:rPr>
          <w:rFonts w:hint="eastAsia" w:ascii="仿宋" w:hAnsi="仿宋" w:eastAsia="仿宋"/>
          <w:sz w:val="32"/>
          <w:szCs w:val="32"/>
        </w:rPr>
        <w:t>%，</w:t>
      </w:r>
      <w:r>
        <w:rPr>
          <w:rFonts w:hint="eastAsia" w:ascii="仿宋" w:hAnsi="仿宋" w:eastAsia="仿宋"/>
          <w:sz w:val="32"/>
          <w:szCs w:val="32"/>
          <w:lang w:eastAsia="zh-CN"/>
        </w:rPr>
        <w:t>航标维护</w:t>
      </w:r>
      <w:r>
        <w:rPr>
          <w:rFonts w:hint="eastAsia" w:ascii="仿宋" w:hAnsi="仿宋" w:eastAsia="仿宋"/>
          <w:sz w:val="32"/>
          <w:szCs w:val="32"/>
        </w:rPr>
        <w:t>经费比上年度</w:t>
      </w:r>
      <w:r>
        <w:rPr>
          <w:rFonts w:hint="eastAsia" w:ascii="仿宋" w:hAnsi="仿宋" w:eastAsia="仿宋"/>
          <w:sz w:val="32"/>
          <w:szCs w:val="32"/>
          <w:lang w:eastAsia="zh-CN"/>
        </w:rPr>
        <w:t>增加</w:t>
      </w:r>
      <w:r>
        <w:rPr>
          <w:rFonts w:hint="eastAsia" w:ascii="仿宋" w:hAnsi="仿宋" w:eastAsia="仿宋"/>
          <w:sz w:val="32"/>
          <w:szCs w:val="32"/>
        </w:rPr>
        <w:t>。</w:t>
      </w:r>
    </w:p>
    <w:p>
      <w:pPr>
        <w:spacing w:line="560" w:lineRule="exact"/>
        <w:ind w:firstLine="643" w:firstLineChars="200"/>
        <w:rPr>
          <w:rFonts w:ascii="楷体" w:hAnsi="楷体" w:eastAsia="楷体" w:cs="楷体"/>
          <w:b/>
          <w:sz w:val="32"/>
          <w:szCs w:val="32"/>
        </w:rPr>
      </w:pPr>
      <w:bookmarkStart w:id="70" w:name="_Toc18793_WPSOffice_Level2"/>
      <w:bookmarkStart w:id="71" w:name="_Toc2711_WPSOffice_Level2"/>
      <w:bookmarkStart w:id="72" w:name="_Toc19075_WPSOffice_Level2"/>
      <w:bookmarkStart w:id="73" w:name="_Toc23864_WPSOffice_Level2"/>
      <w:bookmarkStart w:id="74" w:name="_Toc27767_WPSOffice_Level2"/>
      <w:bookmarkStart w:id="75" w:name="_Toc19535_WPSOffice_Level2"/>
      <w:r>
        <w:rPr>
          <w:rFonts w:hint="eastAsia" w:ascii="楷体" w:hAnsi="楷体" w:eastAsia="楷体" w:cs="楷体"/>
          <w:b/>
          <w:sz w:val="32"/>
          <w:szCs w:val="32"/>
        </w:rPr>
        <w:t>（二）一般公共预算财政拨款支出决算结构情况</w:t>
      </w:r>
      <w:bookmarkEnd w:id="70"/>
      <w:bookmarkEnd w:id="71"/>
      <w:r>
        <w:rPr>
          <w:rFonts w:hint="eastAsia" w:ascii="楷体" w:hAnsi="楷体" w:eastAsia="楷体" w:cs="楷体"/>
          <w:b/>
          <w:sz w:val="32"/>
          <w:szCs w:val="32"/>
        </w:rPr>
        <w:t>。</w:t>
      </w:r>
      <w:bookmarkEnd w:id="72"/>
      <w:bookmarkEnd w:id="73"/>
      <w:bookmarkEnd w:id="74"/>
      <w:bookmarkEnd w:id="75"/>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年度一般公共预算财政拨款支出</w:t>
      </w:r>
      <w:r>
        <w:rPr>
          <w:rFonts w:hint="eastAsia" w:ascii="仿宋" w:hAnsi="仿宋" w:eastAsia="仿宋"/>
          <w:sz w:val="32"/>
          <w:szCs w:val="32"/>
          <w:lang w:val="en-US" w:eastAsia="zh-CN"/>
        </w:rPr>
        <w:t>321.76</w:t>
      </w:r>
      <w:r>
        <w:rPr>
          <w:rFonts w:hint="eastAsia" w:ascii="仿宋" w:hAnsi="仿宋" w:eastAsia="仿宋"/>
          <w:sz w:val="32"/>
          <w:szCs w:val="32"/>
        </w:rPr>
        <w:t>万元，主要用于以下方面</w:t>
      </w:r>
      <w:r>
        <w:rPr>
          <w:rFonts w:hint="eastAsia" w:ascii="仿宋" w:hAnsi="仿宋" w:eastAsia="仿宋"/>
          <w:b/>
          <w:sz w:val="32"/>
          <w:szCs w:val="32"/>
        </w:rPr>
        <w:t>：社会保障和就业（类）</w:t>
      </w:r>
      <w:r>
        <w:rPr>
          <w:rFonts w:hint="eastAsia" w:ascii="仿宋" w:hAnsi="仿宋" w:eastAsia="仿宋"/>
          <w:sz w:val="32"/>
          <w:szCs w:val="32"/>
        </w:rPr>
        <w:t>支出1</w:t>
      </w:r>
      <w:r>
        <w:rPr>
          <w:rFonts w:hint="eastAsia" w:ascii="仿宋" w:hAnsi="仿宋" w:eastAsia="仿宋"/>
          <w:sz w:val="32"/>
          <w:szCs w:val="32"/>
          <w:lang w:val="en-US" w:eastAsia="zh-CN"/>
        </w:rPr>
        <w:t>2.30</w:t>
      </w:r>
      <w:r>
        <w:rPr>
          <w:rFonts w:hint="eastAsia" w:ascii="仿宋" w:hAnsi="仿宋" w:eastAsia="仿宋"/>
          <w:sz w:val="32"/>
          <w:szCs w:val="32"/>
        </w:rPr>
        <w:t>万元，占</w:t>
      </w:r>
      <w:r>
        <w:rPr>
          <w:rFonts w:hint="eastAsia" w:ascii="仿宋" w:hAnsi="仿宋" w:eastAsia="仿宋"/>
          <w:sz w:val="32"/>
          <w:szCs w:val="32"/>
          <w:lang w:val="en-US" w:eastAsia="zh-CN"/>
        </w:rPr>
        <w:t>3.82</w:t>
      </w:r>
      <w:r>
        <w:rPr>
          <w:rFonts w:hint="eastAsia" w:ascii="仿宋" w:hAnsi="仿宋" w:eastAsia="仿宋"/>
          <w:sz w:val="32"/>
          <w:szCs w:val="32"/>
        </w:rPr>
        <w:t>%；</w:t>
      </w:r>
      <w:r>
        <w:rPr>
          <w:rFonts w:hint="eastAsia" w:ascii="仿宋" w:hAnsi="仿宋" w:eastAsia="仿宋"/>
          <w:b/>
          <w:sz w:val="32"/>
          <w:szCs w:val="32"/>
        </w:rPr>
        <w:t>卫生健康支出（类）</w:t>
      </w:r>
      <w:r>
        <w:rPr>
          <w:rFonts w:hint="eastAsia" w:ascii="仿宋" w:hAnsi="仿宋" w:eastAsia="仿宋"/>
          <w:sz w:val="32"/>
          <w:szCs w:val="32"/>
        </w:rPr>
        <w:t>支出</w:t>
      </w:r>
      <w:r>
        <w:rPr>
          <w:rFonts w:hint="eastAsia" w:ascii="仿宋" w:hAnsi="仿宋" w:eastAsia="仿宋"/>
          <w:sz w:val="32"/>
          <w:szCs w:val="32"/>
          <w:lang w:val="en-US" w:eastAsia="zh-CN"/>
        </w:rPr>
        <w:t>4.93</w:t>
      </w:r>
      <w:r>
        <w:rPr>
          <w:rFonts w:hint="eastAsia" w:ascii="仿宋" w:hAnsi="仿宋" w:eastAsia="仿宋"/>
          <w:sz w:val="32"/>
          <w:szCs w:val="32"/>
        </w:rPr>
        <w:t>万元，占1.</w:t>
      </w:r>
      <w:r>
        <w:rPr>
          <w:rFonts w:hint="eastAsia" w:ascii="仿宋" w:hAnsi="仿宋" w:eastAsia="仿宋"/>
          <w:sz w:val="32"/>
          <w:szCs w:val="32"/>
          <w:lang w:val="en-US" w:eastAsia="zh-CN"/>
        </w:rPr>
        <w:t>53</w:t>
      </w:r>
      <w:r>
        <w:rPr>
          <w:rFonts w:hint="eastAsia" w:ascii="仿宋" w:hAnsi="仿宋" w:eastAsia="仿宋"/>
          <w:sz w:val="32"/>
          <w:szCs w:val="32"/>
        </w:rPr>
        <w:t>%。</w:t>
      </w:r>
      <w:r>
        <w:rPr>
          <w:rFonts w:hint="eastAsia" w:ascii="仿宋" w:hAnsi="仿宋" w:eastAsia="仿宋" w:cs="Arial"/>
          <w:b/>
          <w:color w:val="000000"/>
          <w:sz w:val="32"/>
          <w:szCs w:val="32"/>
        </w:rPr>
        <w:t>交通运输支出</w:t>
      </w:r>
      <w:r>
        <w:rPr>
          <w:rFonts w:hint="eastAsia" w:ascii="仿宋" w:hAnsi="仿宋" w:eastAsia="仿宋"/>
          <w:b/>
          <w:sz w:val="32"/>
          <w:szCs w:val="32"/>
        </w:rPr>
        <w:t>（类）</w:t>
      </w:r>
      <w:r>
        <w:rPr>
          <w:rFonts w:hint="eastAsia" w:ascii="仿宋" w:hAnsi="仿宋" w:eastAsia="仿宋"/>
          <w:sz w:val="32"/>
          <w:szCs w:val="32"/>
        </w:rPr>
        <w:t>2</w:t>
      </w:r>
      <w:r>
        <w:rPr>
          <w:rFonts w:hint="eastAsia" w:ascii="仿宋" w:hAnsi="仿宋" w:eastAsia="仿宋"/>
          <w:sz w:val="32"/>
          <w:szCs w:val="32"/>
          <w:lang w:val="en-US" w:eastAsia="zh-CN"/>
        </w:rPr>
        <w:t>97.09</w:t>
      </w:r>
      <w:r>
        <w:rPr>
          <w:rFonts w:hint="eastAsia" w:ascii="仿宋" w:hAnsi="仿宋" w:eastAsia="仿宋"/>
          <w:sz w:val="32"/>
          <w:szCs w:val="32"/>
        </w:rPr>
        <w:t>万元，占9</w:t>
      </w:r>
      <w:r>
        <w:rPr>
          <w:rFonts w:hint="eastAsia" w:ascii="仿宋" w:hAnsi="仿宋" w:eastAsia="仿宋"/>
          <w:sz w:val="32"/>
          <w:szCs w:val="32"/>
          <w:lang w:val="en-US" w:eastAsia="zh-CN"/>
        </w:rPr>
        <w:t>2.33</w:t>
      </w:r>
      <w:r>
        <w:rPr>
          <w:rFonts w:hint="eastAsia" w:ascii="仿宋" w:hAnsi="仿宋" w:eastAsia="仿宋"/>
          <w:sz w:val="32"/>
          <w:szCs w:val="32"/>
        </w:rPr>
        <w:t>%；</w:t>
      </w:r>
      <w:r>
        <w:rPr>
          <w:rFonts w:hint="eastAsia" w:ascii="仿宋" w:hAnsi="仿宋" w:eastAsia="仿宋"/>
          <w:b/>
          <w:bCs/>
          <w:sz w:val="32"/>
          <w:szCs w:val="32"/>
        </w:rPr>
        <w:t>住房保障（类）</w:t>
      </w:r>
      <w:r>
        <w:rPr>
          <w:rFonts w:hint="eastAsia" w:ascii="仿宋" w:hAnsi="仿宋" w:eastAsia="仿宋"/>
          <w:sz w:val="32"/>
          <w:szCs w:val="32"/>
        </w:rPr>
        <w:t>支出7.4</w:t>
      </w:r>
      <w:r>
        <w:rPr>
          <w:rFonts w:hint="eastAsia" w:ascii="仿宋" w:hAnsi="仿宋" w:eastAsia="仿宋"/>
          <w:sz w:val="32"/>
          <w:szCs w:val="32"/>
          <w:lang w:val="en-US" w:eastAsia="zh-CN"/>
        </w:rPr>
        <w:t>5</w:t>
      </w:r>
      <w:r>
        <w:rPr>
          <w:rFonts w:hint="eastAsia" w:ascii="仿宋" w:hAnsi="仿宋" w:eastAsia="仿宋"/>
          <w:sz w:val="32"/>
          <w:szCs w:val="32"/>
        </w:rPr>
        <w:t>万元，占2.</w:t>
      </w:r>
      <w:r>
        <w:rPr>
          <w:rFonts w:hint="eastAsia" w:ascii="仿宋" w:hAnsi="仿宋" w:eastAsia="仿宋"/>
          <w:sz w:val="32"/>
          <w:szCs w:val="32"/>
          <w:lang w:val="en-US" w:eastAsia="zh-CN"/>
        </w:rPr>
        <w:t>32</w:t>
      </w:r>
      <w:r>
        <w:rPr>
          <w:rFonts w:hint="eastAsia" w:ascii="仿宋" w:hAnsi="仿宋" w:eastAsia="仿宋"/>
          <w:sz w:val="32"/>
          <w:szCs w:val="32"/>
        </w:rPr>
        <w:t xml:space="preserve">%； </w:t>
      </w:r>
    </w:p>
    <w:p>
      <w:pPr>
        <w:spacing w:line="560" w:lineRule="exact"/>
        <w:ind w:firstLine="643" w:firstLineChars="200"/>
        <w:rPr>
          <w:rFonts w:ascii="楷体" w:hAnsi="楷体" w:eastAsia="楷体" w:cs="楷体"/>
          <w:b/>
          <w:sz w:val="32"/>
          <w:szCs w:val="32"/>
        </w:rPr>
      </w:pPr>
      <w:bookmarkStart w:id="76" w:name="_Toc15415_WPSOffice_Level2"/>
      <w:bookmarkStart w:id="77" w:name="_Toc29364_WPSOffice_Level2"/>
      <w:bookmarkStart w:id="78" w:name="_Toc21701_WPSOffice_Level2"/>
      <w:bookmarkStart w:id="79" w:name="_Toc22318_WPSOffice_Level2"/>
      <w:bookmarkStart w:id="80" w:name="_Toc25136_WPSOffice_Level2"/>
      <w:bookmarkStart w:id="81" w:name="_Toc9502_WPSOffice_Level2"/>
      <w:r>
        <w:rPr>
          <w:rFonts w:hint="eastAsia" w:ascii="楷体" w:hAnsi="楷体" w:eastAsia="楷体" w:cs="楷体"/>
          <w:b/>
          <w:sz w:val="32"/>
          <w:szCs w:val="32"/>
        </w:rPr>
        <w:t>（三）一般公共预算财政拨款支出决算具体情况。</w:t>
      </w:r>
      <w:bookmarkEnd w:id="76"/>
      <w:bookmarkEnd w:id="77"/>
      <w:bookmarkEnd w:id="78"/>
      <w:bookmarkEnd w:id="79"/>
      <w:bookmarkEnd w:id="80"/>
      <w:bookmarkEnd w:id="81"/>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年度一般公共预算财政拨款支出年初预算为</w:t>
      </w:r>
      <w:r>
        <w:rPr>
          <w:rFonts w:hint="eastAsia" w:ascii="仿宋" w:hAnsi="仿宋" w:eastAsia="仿宋"/>
          <w:color w:val="auto"/>
          <w:sz w:val="32"/>
          <w:szCs w:val="32"/>
          <w:lang w:val="en-US" w:eastAsia="zh-CN"/>
        </w:rPr>
        <w:t>325.23</w:t>
      </w:r>
      <w:r>
        <w:rPr>
          <w:rFonts w:hint="eastAsia" w:ascii="仿宋" w:hAnsi="仿宋" w:eastAsia="仿宋"/>
          <w:color w:val="auto"/>
          <w:sz w:val="32"/>
          <w:szCs w:val="32"/>
        </w:rPr>
        <w:t>万元，支出决算为</w:t>
      </w:r>
      <w:r>
        <w:rPr>
          <w:rFonts w:hint="eastAsia" w:ascii="仿宋" w:hAnsi="仿宋" w:eastAsia="仿宋"/>
          <w:color w:val="auto"/>
          <w:sz w:val="32"/>
          <w:szCs w:val="32"/>
          <w:lang w:val="en-US" w:eastAsia="zh-CN"/>
        </w:rPr>
        <w:t>321.76</w:t>
      </w:r>
      <w:r>
        <w:rPr>
          <w:rFonts w:hint="eastAsia" w:ascii="仿宋" w:hAnsi="仿宋" w:eastAsia="仿宋"/>
          <w:color w:val="auto"/>
          <w:sz w:val="32"/>
          <w:szCs w:val="32"/>
        </w:rPr>
        <w:t>万元，完成年初预算的</w:t>
      </w:r>
      <w:r>
        <w:rPr>
          <w:rFonts w:hint="eastAsia" w:ascii="仿宋" w:hAnsi="仿宋" w:eastAsia="仿宋"/>
          <w:color w:val="auto"/>
          <w:sz w:val="32"/>
          <w:szCs w:val="32"/>
          <w:lang w:val="en-US" w:eastAsia="zh-CN"/>
        </w:rPr>
        <w:t>98.93</w:t>
      </w:r>
      <w:r>
        <w:rPr>
          <w:rFonts w:hint="eastAsia" w:ascii="仿宋" w:hAnsi="仿宋" w:eastAsia="仿宋"/>
          <w:color w:val="auto"/>
          <w:sz w:val="32"/>
          <w:szCs w:val="32"/>
        </w:rPr>
        <w:t>%。其中</w:t>
      </w:r>
    </w:p>
    <w:p>
      <w:pPr>
        <w:spacing w:line="56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1.社会保障和就业（类）支出行政事业单位养老支出（款）机关事业单位基本养老保险缴费支出（项）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年年初预算为</w:t>
      </w:r>
      <w:r>
        <w:rPr>
          <w:rFonts w:hint="eastAsia" w:ascii="仿宋" w:hAnsi="仿宋" w:eastAsia="仿宋"/>
          <w:color w:val="auto"/>
          <w:sz w:val="32"/>
          <w:szCs w:val="32"/>
          <w:lang w:val="en-US" w:eastAsia="zh-CN"/>
        </w:rPr>
        <w:t>9.28</w:t>
      </w:r>
      <w:r>
        <w:rPr>
          <w:rFonts w:hint="eastAsia" w:ascii="仿宋" w:hAnsi="仿宋" w:eastAsia="仿宋"/>
          <w:color w:val="auto"/>
          <w:sz w:val="32"/>
          <w:szCs w:val="32"/>
        </w:rPr>
        <w:t>万元，支出决算为</w:t>
      </w:r>
      <w:r>
        <w:rPr>
          <w:rFonts w:hint="eastAsia" w:ascii="仿宋" w:hAnsi="仿宋" w:eastAsia="仿宋"/>
          <w:color w:val="auto"/>
          <w:sz w:val="32"/>
          <w:szCs w:val="32"/>
          <w:lang w:val="en-US" w:eastAsia="zh-CN"/>
        </w:rPr>
        <w:t>9.28</w:t>
      </w:r>
      <w:r>
        <w:rPr>
          <w:rFonts w:hint="eastAsia" w:ascii="仿宋" w:hAnsi="仿宋" w:eastAsia="仿宋"/>
          <w:color w:val="auto"/>
          <w:sz w:val="32"/>
          <w:szCs w:val="32"/>
        </w:rPr>
        <w:t>万元，完成年初预算的10</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w:t>
      </w:r>
    </w:p>
    <w:p>
      <w:pPr>
        <w:spacing w:line="560" w:lineRule="exact"/>
        <w:ind w:firstLine="630"/>
        <w:rPr>
          <w:rFonts w:ascii="仿宋" w:hAnsi="仿宋" w:eastAsia="仿宋"/>
          <w:b/>
          <w:color w:val="auto"/>
          <w:sz w:val="32"/>
          <w:szCs w:val="32"/>
        </w:rPr>
      </w:pPr>
      <w:r>
        <w:rPr>
          <w:rFonts w:hint="eastAsia" w:ascii="仿宋" w:hAnsi="仿宋" w:eastAsia="仿宋"/>
          <w:b/>
          <w:color w:val="auto"/>
          <w:sz w:val="32"/>
          <w:szCs w:val="32"/>
        </w:rPr>
        <w:t>2.</w:t>
      </w:r>
      <w:r>
        <w:rPr>
          <w:rFonts w:hint="eastAsia" w:ascii="仿宋" w:hAnsi="仿宋" w:eastAsia="仿宋" w:cs="Arial"/>
          <w:b/>
          <w:color w:val="auto"/>
          <w:sz w:val="32"/>
          <w:szCs w:val="32"/>
        </w:rPr>
        <w:t>卫生健康</w:t>
      </w:r>
      <w:r>
        <w:rPr>
          <w:rFonts w:hint="eastAsia" w:ascii="仿宋" w:hAnsi="仿宋" w:eastAsia="仿宋"/>
          <w:b/>
          <w:color w:val="auto"/>
          <w:sz w:val="32"/>
          <w:szCs w:val="32"/>
        </w:rPr>
        <w:t>（类）</w:t>
      </w:r>
      <w:r>
        <w:rPr>
          <w:rFonts w:hint="eastAsia" w:ascii="仿宋" w:hAnsi="仿宋" w:eastAsia="仿宋" w:cs="Arial"/>
          <w:b/>
          <w:color w:val="auto"/>
          <w:sz w:val="32"/>
          <w:szCs w:val="32"/>
        </w:rPr>
        <w:t>支出</w:t>
      </w:r>
      <w:r>
        <w:rPr>
          <w:rFonts w:hint="eastAsia" w:ascii="仿宋" w:hAnsi="仿宋" w:eastAsia="仿宋"/>
          <w:b/>
          <w:color w:val="auto"/>
          <w:sz w:val="32"/>
          <w:szCs w:val="32"/>
        </w:rPr>
        <w:t>行政事业单位医疗（款）事业单位医疗（项）</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年年初预算为4.</w:t>
      </w:r>
      <w:r>
        <w:rPr>
          <w:rFonts w:hint="eastAsia" w:ascii="仿宋" w:hAnsi="仿宋" w:eastAsia="仿宋"/>
          <w:color w:val="auto"/>
          <w:sz w:val="32"/>
          <w:szCs w:val="32"/>
          <w:lang w:val="en-US" w:eastAsia="zh-CN"/>
        </w:rPr>
        <w:t>93</w:t>
      </w:r>
      <w:r>
        <w:rPr>
          <w:rFonts w:hint="eastAsia" w:ascii="仿宋" w:hAnsi="仿宋" w:eastAsia="仿宋"/>
          <w:color w:val="auto"/>
          <w:sz w:val="32"/>
          <w:szCs w:val="32"/>
        </w:rPr>
        <w:t>万元，支出决算为</w:t>
      </w:r>
      <w:r>
        <w:rPr>
          <w:rFonts w:hint="eastAsia" w:ascii="仿宋" w:hAnsi="仿宋" w:eastAsia="仿宋"/>
          <w:color w:val="auto"/>
          <w:sz w:val="32"/>
          <w:szCs w:val="32"/>
          <w:lang w:val="en-US" w:eastAsia="zh-CN"/>
        </w:rPr>
        <w:t>4.93</w:t>
      </w:r>
      <w:r>
        <w:rPr>
          <w:rFonts w:hint="eastAsia" w:ascii="仿宋" w:hAnsi="仿宋" w:eastAsia="仿宋"/>
          <w:color w:val="auto"/>
          <w:sz w:val="32"/>
          <w:szCs w:val="32"/>
        </w:rPr>
        <w:t>万元，完成年初预算的10</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w:t>
      </w:r>
    </w:p>
    <w:p>
      <w:pPr>
        <w:spacing w:line="560" w:lineRule="exact"/>
        <w:ind w:firstLine="630"/>
        <w:rPr>
          <w:rFonts w:ascii="仿宋" w:hAnsi="仿宋" w:eastAsia="仿宋"/>
          <w:b/>
          <w:color w:val="000000"/>
          <w:sz w:val="32"/>
          <w:szCs w:val="32"/>
        </w:rPr>
      </w:pPr>
      <w:r>
        <w:rPr>
          <w:rFonts w:hint="eastAsia" w:ascii="仿宋" w:hAnsi="仿宋" w:eastAsia="仿宋"/>
          <w:b/>
          <w:sz w:val="32"/>
          <w:szCs w:val="32"/>
        </w:rPr>
        <w:t>3.</w:t>
      </w:r>
      <w:r>
        <w:rPr>
          <w:rFonts w:hint="eastAsia" w:ascii="仿宋" w:hAnsi="仿宋" w:eastAsia="仿宋" w:cs="Arial"/>
          <w:b/>
          <w:color w:val="000000"/>
          <w:sz w:val="32"/>
          <w:szCs w:val="32"/>
        </w:rPr>
        <w:t>交通运输</w:t>
      </w:r>
      <w:r>
        <w:rPr>
          <w:rFonts w:hint="eastAsia" w:ascii="仿宋" w:hAnsi="仿宋" w:eastAsia="仿宋"/>
          <w:b/>
          <w:sz w:val="32"/>
          <w:szCs w:val="32"/>
        </w:rPr>
        <w:t>（类）</w:t>
      </w:r>
      <w:r>
        <w:rPr>
          <w:rFonts w:hint="eastAsia" w:ascii="仿宋" w:hAnsi="仿宋" w:eastAsia="仿宋" w:cs="Arial"/>
          <w:b/>
          <w:color w:val="000000"/>
          <w:sz w:val="32"/>
          <w:szCs w:val="32"/>
        </w:rPr>
        <w:t>支出</w:t>
      </w:r>
      <w:r>
        <w:rPr>
          <w:rFonts w:hint="eastAsia" w:ascii="仿宋" w:hAnsi="仿宋" w:eastAsia="仿宋"/>
          <w:b/>
          <w:color w:val="000000"/>
          <w:sz w:val="32"/>
          <w:szCs w:val="32"/>
        </w:rPr>
        <w:t>公路水路运输（款）航道维护（项）</w:t>
      </w:r>
    </w:p>
    <w:p>
      <w:pPr>
        <w:spacing w:line="560" w:lineRule="exact"/>
        <w:ind w:firstLine="63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年年初预算为</w:t>
      </w:r>
      <w:r>
        <w:rPr>
          <w:rFonts w:hint="eastAsia" w:ascii="仿宋" w:hAnsi="仿宋" w:eastAsia="仿宋"/>
          <w:sz w:val="32"/>
          <w:szCs w:val="32"/>
          <w:lang w:val="en-US" w:eastAsia="zh-CN"/>
        </w:rPr>
        <w:t>187.33</w:t>
      </w:r>
      <w:r>
        <w:rPr>
          <w:rFonts w:hint="eastAsia" w:ascii="仿宋" w:hAnsi="仿宋" w:eastAsia="仿宋"/>
          <w:sz w:val="32"/>
          <w:szCs w:val="32"/>
        </w:rPr>
        <w:t>万元，支出决算为1</w:t>
      </w:r>
      <w:r>
        <w:rPr>
          <w:rFonts w:hint="eastAsia" w:ascii="仿宋" w:hAnsi="仿宋" w:eastAsia="仿宋"/>
          <w:sz w:val="32"/>
          <w:szCs w:val="32"/>
          <w:lang w:val="en-US" w:eastAsia="zh-CN"/>
        </w:rPr>
        <w:t>84.03</w:t>
      </w:r>
      <w:r>
        <w:rPr>
          <w:rFonts w:hint="eastAsia" w:ascii="仿宋" w:hAnsi="仿宋" w:eastAsia="仿宋"/>
          <w:sz w:val="32"/>
          <w:szCs w:val="32"/>
        </w:rPr>
        <w:t>万元，完成年初预算的9</w:t>
      </w:r>
      <w:r>
        <w:rPr>
          <w:rFonts w:hint="eastAsia" w:ascii="仿宋" w:hAnsi="仿宋" w:eastAsia="仿宋"/>
          <w:sz w:val="32"/>
          <w:szCs w:val="32"/>
          <w:lang w:val="en-US" w:eastAsia="zh-CN"/>
        </w:rPr>
        <w:t>8.24</w:t>
      </w:r>
      <w:r>
        <w:rPr>
          <w:rFonts w:hint="eastAsia" w:ascii="仿宋" w:hAnsi="仿宋" w:eastAsia="仿宋"/>
          <w:sz w:val="32"/>
          <w:szCs w:val="32"/>
        </w:rPr>
        <w:t>%。</w:t>
      </w:r>
      <w:r>
        <w:rPr>
          <w:rFonts w:hint="eastAsia" w:ascii="仿宋" w:hAnsi="仿宋" w:eastAsia="仿宋"/>
          <w:color w:val="000000"/>
          <w:sz w:val="32"/>
          <w:szCs w:val="32"/>
        </w:rPr>
        <w:t>年初预算数与决算数有差异的</w:t>
      </w:r>
      <w:r>
        <w:rPr>
          <w:rFonts w:hint="eastAsia" w:ascii="仿宋" w:hAnsi="仿宋" w:eastAsia="仿宋"/>
          <w:sz w:val="32"/>
          <w:szCs w:val="32"/>
        </w:rPr>
        <w:t>原因：项目</w:t>
      </w:r>
      <w:r>
        <w:rPr>
          <w:rFonts w:hint="eastAsia" w:ascii="仿宋" w:hAnsi="仿宋" w:eastAsia="仿宋"/>
          <w:sz w:val="32"/>
          <w:szCs w:val="32"/>
          <w:lang w:eastAsia="zh-CN"/>
        </w:rPr>
        <w:t>预算</w:t>
      </w:r>
      <w:r>
        <w:rPr>
          <w:rFonts w:hint="eastAsia" w:ascii="仿宋" w:hAnsi="仿宋" w:eastAsia="仿宋"/>
          <w:sz w:val="32"/>
          <w:szCs w:val="32"/>
        </w:rPr>
        <w:t>指标</w:t>
      </w:r>
      <w:r>
        <w:rPr>
          <w:rFonts w:hint="eastAsia" w:ascii="仿宋" w:hAnsi="仿宋" w:eastAsia="仿宋"/>
          <w:sz w:val="32"/>
          <w:szCs w:val="32"/>
          <w:lang w:eastAsia="zh-CN"/>
        </w:rPr>
        <w:t>培训费因为疫情原因不能完成预算</w:t>
      </w:r>
      <w:r>
        <w:rPr>
          <w:rFonts w:hint="eastAsia" w:ascii="仿宋" w:hAnsi="仿宋" w:eastAsia="仿宋"/>
          <w:sz w:val="32"/>
          <w:szCs w:val="32"/>
        </w:rPr>
        <w:t>，财政收回</w:t>
      </w:r>
      <w:r>
        <w:rPr>
          <w:rFonts w:hint="eastAsia" w:ascii="仿宋" w:hAnsi="仿宋" w:eastAsia="仿宋"/>
          <w:sz w:val="32"/>
          <w:szCs w:val="32"/>
          <w:lang w:eastAsia="zh-CN"/>
        </w:rPr>
        <w:t>预算指标</w:t>
      </w:r>
      <w:r>
        <w:rPr>
          <w:rFonts w:hint="eastAsia" w:ascii="仿宋" w:hAnsi="仿宋" w:eastAsia="仿宋"/>
          <w:sz w:val="32"/>
          <w:szCs w:val="32"/>
        </w:rPr>
        <w:t>3</w:t>
      </w:r>
      <w:r>
        <w:rPr>
          <w:rFonts w:hint="eastAsia" w:ascii="仿宋" w:hAnsi="仿宋" w:eastAsia="仿宋"/>
          <w:sz w:val="32"/>
          <w:szCs w:val="32"/>
          <w:lang w:val="en-US" w:eastAsia="zh-CN"/>
        </w:rPr>
        <w:t>.30</w:t>
      </w:r>
      <w:r>
        <w:rPr>
          <w:rFonts w:hint="eastAsia" w:ascii="仿宋" w:hAnsi="仿宋" w:eastAsia="仿宋"/>
          <w:sz w:val="32"/>
          <w:szCs w:val="32"/>
        </w:rPr>
        <w:t>万元。</w:t>
      </w:r>
    </w:p>
    <w:p>
      <w:pPr>
        <w:spacing w:line="560" w:lineRule="exact"/>
        <w:ind w:firstLine="630"/>
        <w:rPr>
          <w:rFonts w:ascii="仿宋" w:hAnsi="仿宋" w:eastAsia="仿宋"/>
          <w:b/>
          <w:color w:val="auto"/>
          <w:sz w:val="32"/>
          <w:szCs w:val="32"/>
        </w:rPr>
      </w:pPr>
      <w:r>
        <w:rPr>
          <w:rFonts w:hint="eastAsia" w:ascii="仿宋" w:hAnsi="仿宋" w:eastAsia="仿宋"/>
          <w:b/>
          <w:color w:val="auto"/>
          <w:sz w:val="32"/>
          <w:szCs w:val="32"/>
        </w:rPr>
        <w:t>4.</w:t>
      </w:r>
      <w:r>
        <w:rPr>
          <w:rFonts w:hint="eastAsia" w:ascii="仿宋" w:hAnsi="仿宋" w:eastAsia="仿宋" w:cs="Arial"/>
          <w:b/>
          <w:color w:val="auto"/>
          <w:sz w:val="32"/>
          <w:szCs w:val="32"/>
        </w:rPr>
        <w:t>交通运输</w:t>
      </w:r>
      <w:r>
        <w:rPr>
          <w:rFonts w:hint="eastAsia" w:ascii="仿宋" w:hAnsi="仿宋" w:eastAsia="仿宋"/>
          <w:b/>
          <w:color w:val="auto"/>
          <w:sz w:val="32"/>
          <w:szCs w:val="32"/>
        </w:rPr>
        <w:t>（类）</w:t>
      </w:r>
      <w:r>
        <w:rPr>
          <w:rFonts w:hint="eastAsia" w:ascii="仿宋" w:hAnsi="仿宋" w:eastAsia="仿宋" w:cs="Arial"/>
          <w:b/>
          <w:color w:val="auto"/>
          <w:sz w:val="32"/>
          <w:szCs w:val="32"/>
        </w:rPr>
        <w:t>支出</w:t>
      </w:r>
      <w:r>
        <w:rPr>
          <w:rFonts w:hint="eastAsia" w:ascii="仿宋" w:hAnsi="仿宋" w:eastAsia="仿宋"/>
          <w:b/>
          <w:color w:val="auto"/>
          <w:sz w:val="32"/>
          <w:szCs w:val="32"/>
        </w:rPr>
        <w:t>公路水路运输（款）其他公路水路运输支出（项）</w:t>
      </w:r>
    </w:p>
    <w:p>
      <w:pPr>
        <w:spacing w:line="560" w:lineRule="exact"/>
        <w:ind w:firstLine="63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年年初预算为1</w:t>
      </w:r>
      <w:r>
        <w:rPr>
          <w:rFonts w:hint="eastAsia" w:ascii="仿宋" w:hAnsi="仿宋" w:eastAsia="仿宋"/>
          <w:color w:val="auto"/>
          <w:sz w:val="32"/>
          <w:szCs w:val="32"/>
          <w:lang w:val="en-US" w:eastAsia="zh-CN"/>
        </w:rPr>
        <w:t>13.26</w:t>
      </w:r>
      <w:r>
        <w:rPr>
          <w:rFonts w:hint="eastAsia" w:ascii="仿宋" w:hAnsi="仿宋" w:eastAsia="仿宋"/>
          <w:color w:val="auto"/>
          <w:sz w:val="32"/>
          <w:szCs w:val="32"/>
        </w:rPr>
        <w:t>万元，支出决算为1</w:t>
      </w:r>
      <w:r>
        <w:rPr>
          <w:rFonts w:hint="eastAsia" w:ascii="仿宋" w:hAnsi="仿宋" w:eastAsia="仿宋"/>
          <w:color w:val="auto"/>
          <w:sz w:val="32"/>
          <w:szCs w:val="32"/>
          <w:lang w:val="en-US" w:eastAsia="zh-CN"/>
        </w:rPr>
        <w:t>13.05</w:t>
      </w:r>
      <w:r>
        <w:rPr>
          <w:rFonts w:hint="eastAsia" w:ascii="仿宋" w:hAnsi="仿宋" w:eastAsia="仿宋"/>
          <w:color w:val="auto"/>
          <w:sz w:val="32"/>
          <w:szCs w:val="32"/>
        </w:rPr>
        <w:t>万元，完成年初预算的</w:t>
      </w:r>
      <w:r>
        <w:rPr>
          <w:rFonts w:hint="eastAsia" w:ascii="仿宋" w:hAnsi="仿宋" w:eastAsia="仿宋"/>
          <w:color w:val="auto"/>
          <w:sz w:val="32"/>
          <w:szCs w:val="32"/>
          <w:lang w:val="en-US" w:eastAsia="zh-CN"/>
        </w:rPr>
        <w:t>99.81</w:t>
      </w:r>
      <w:r>
        <w:rPr>
          <w:rFonts w:hint="eastAsia" w:ascii="仿宋" w:hAnsi="仿宋" w:eastAsia="仿宋"/>
          <w:color w:val="auto"/>
          <w:sz w:val="32"/>
          <w:szCs w:val="32"/>
        </w:rPr>
        <w:t>%。</w:t>
      </w:r>
      <w:r>
        <w:rPr>
          <w:rFonts w:hint="eastAsia" w:ascii="仿宋" w:hAnsi="仿宋" w:eastAsia="仿宋"/>
          <w:color w:val="auto"/>
          <w:sz w:val="32"/>
          <w:szCs w:val="32"/>
          <w:lang w:eastAsia="zh-CN"/>
        </w:rPr>
        <w:t>基本持平</w:t>
      </w:r>
      <w:r>
        <w:rPr>
          <w:rFonts w:hint="eastAsia" w:ascii="仿宋" w:hAnsi="仿宋" w:eastAsia="仿宋"/>
          <w:color w:val="auto"/>
          <w:sz w:val="32"/>
          <w:szCs w:val="32"/>
        </w:rPr>
        <w:t>。</w:t>
      </w:r>
    </w:p>
    <w:p>
      <w:pPr>
        <w:spacing w:line="56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5.住房保障（类）</w:t>
      </w:r>
      <w:r>
        <w:rPr>
          <w:rFonts w:hint="eastAsia" w:ascii="仿宋" w:hAnsi="仿宋" w:eastAsia="仿宋" w:cs="仿宋_GB2312"/>
          <w:b/>
          <w:color w:val="auto"/>
          <w:sz w:val="32"/>
          <w:szCs w:val="32"/>
        </w:rPr>
        <w:t>支出住房改革支出</w:t>
      </w:r>
      <w:r>
        <w:rPr>
          <w:rFonts w:hint="eastAsia" w:ascii="仿宋" w:hAnsi="仿宋" w:eastAsia="仿宋"/>
          <w:b/>
          <w:color w:val="auto"/>
          <w:sz w:val="32"/>
          <w:szCs w:val="32"/>
        </w:rPr>
        <w:t>（款）</w:t>
      </w:r>
      <w:r>
        <w:rPr>
          <w:rFonts w:hint="eastAsia" w:ascii="仿宋" w:hAnsi="仿宋" w:eastAsia="仿宋" w:cs="仿宋_GB2312"/>
          <w:b/>
          <w:color w:val="auto"/>
          <w:sz w:val="32"/>
          <w:szCs w:val="32"/>
        </w:rPr>
        <w:t>住房公积金</w:t>
      </w:r>
      <w:r>
        <w:rPr>
          <w:rFonts w:hint="eastAsia" w:ascii="仿宋" w:hAnsi="仿宋" w:eastAsia="仿宋"/>
          <w:b/>
          <w:color w:val="auto"/>
          <w:sz w:val="32"/>
          <w:szCs w:val="32"/>
        </w:rPr>
        <w:t>（项）</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年年初预算为7.</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万元，支出决算为7.4</w:t>
      </w:r>
      <w:r>
        <w:rPr>
          <w:rFonts w:hint="eastAsia" w:ascii="仿宋" w:hAnsi="仿宋" w:eastAsia="仿宋"/>
          <w:color w:val="auto"/>
          <w:sz w:val="32"/>
          <w:szCs w:val="32"/>
          <w:lang w:val="en-US" w:eastAsia="zh-CN"/>
        </w:rPr>
        <w:t>5</w:t>
      </w:r>
      <w:r>
        <w:rPr>
          <w:rFonts w:hint="eastAsia" w:ascii="仿宋" w:hAnsi="仿宋" w:eastAsia="仿宋"/>
          <w:color w:val="auto"/>
          <w:sz w:val="32"/>
          <w:szCs w:val="32"/>
        </w:rPr>
        <w:t>万元，完成年初预算的10</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w:t>
      </w:r>
    </w:p>
    <w:p>
      <w:pPr>
        <w:ind w:firstLine="640" w:firstLineChars="200"/>
        <w:rPr>
          <w:rFonts w:ascii="仿宋" w:hAnsi="仿宋" w:eastAsia="仿宋"/>
          <w:b/>
          <w:color w:val="auto"/>
          <w:sz w:val="32"/>
          <w:szCs w:val="32"/>
        </w:rPr>
      </w:pPr>
      <w:r>
        <w:rPr>
          <w:rFonts w:hint="eastAsia" w:ascii="仿宋" w:hAnsi="仿宋" w:eastAsia="仿宋"/>
          <w:color w:val="auto"/>
          <w:sz w:val="32"/>
          <w:szCs w:val="32"/>
        </w:rPr>
        <w:t>6</w:t>
      </w:r>
      <w:r>
        <w:rPr>
          <w:rFonts w:ascii="仿宋" w:hAnsi="仿宋" w:eastAsia="仿宋"/>
          <w:color w:val="auto"/>
          <w:sz w:val="32"/>
          <w:szCs w:val="32"/>
        </w:rPr>
        <w:t>.</w:t>
      </w:r>
      <w:r>
        <w:rPr>
          <w:rFonts w:hint="eastAsia" w:ascii="仿宋" w:hAnsi="仿宋" w:eastAsia="仿宋"/>
          <w:b/>
          <w:color w:val="auto"/>
          <w:sz w:val="32"/>
          <w:szCs w:val="32"/>
        </w:rPr>
        <w:t>社会保障和就业支出（类）抚恤（款）其他优抚支出（项）</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2021</w:t>
      </w:r>
      <w:r>
        <w:rPr>
          <w:rFonts w:hint="eastAsia" w:ascii="仿宋" w:hAnsi="仿宋" w:eastAsia="仿宋"/>
          <w:color w:val="auto"/>
          <w:sz w:val="32"/>
          <w:szCs w:val="32"/>
        </w:rPr>
        <w:t>年初预算为</w:t>
      </w:r>
      <w:r>
        <w:rPr>
          <w:rFonts w:hint="eastAsia" w:ascii="仿宋" w:hAnsi="仿宋" w:eastAsia="仿宋"/>
          <w:color w:val="auto"/>
          <w:sz w:val="32"/>
          <w:szCs w:val="32"/>
          <w:lang w:val="en-US" w:eastAsia="zh-CN"/>
        </w:rPr>
        <w:t>3.02</w:t>
      </w:r>
      <w:r>
        <w:rPr>
          <w:rFonts w:hint="eastAsia" w:ascii="仿宋" w:hAnsi="仿宋" w:eastAsia="仿宋"/>
          <w:color w:val="auto"/>
          <w:sz w:val="32"/>
          <w:szCs w:val="32"/>
        </w:rPr>
        <w:t>万元，支出决算为</w:t>
      </w:r>
      <w:r>
        <w:rPr>
          <w:rFonts w:hint="eastAsia" w:ascii="仿宋" w:hAnsi="仿宋" w:eastAsia="仿宋"/>
          <w:color w:val="auto"/>
          <w:sz w:val="32"/>
          <w:szCs w:val="32"/>
          <w:lang w:val="en-US" w:eastAsia="zh-CN"/>
        </w:rPr>
        <w:t>3.02</w:t>
      </w:r>
      <w:r>
        <w:rPr>
          <w:rFonts w:ascii="仿宋" w:hAnsi="仿宋" w:eastAsia="仿宋"/>
          <w:color w:val="auto"/>
          <w:sz w:val="32"/>
          <w:szCs w:val="32"/>
        </w:rPr>
        <w:t>万元，完成年初预算的</w:t>
      </w:r>
      <w:r>
        <w:rPr>
          <w:rFonts w:hint="eastAsia" w:ascii="仿宋" w:hAnsi="仿宋" w:eastAsia="仿宋"/>
          <w:color w:val="auto"/>
          <w:sz w:val="32"/>
          <w:szCs w:val="32"/>
        </w:rPr>
        <w:t>1</w:t>
      </w:r>
      <w:r>
        <w:rPr>
          <w:rFonts w:hint="eastAsia" w:ascii="仿宋" w:hAnsi="仿宋" w:eastAsia="仿宋"/>
          <w:color w:val="auto"/>
          <w:sz w:val="32"/>
          <w:szCs w:val="32"/>
          <w:lang w:val="en-US" w:eastAsia="zh-CN"/>
        </w:rPr>
        <w:t>00</w:t>
      </w:r>
      <w:r>
        <w:rPr>
          <w:rFonts w:ascii="仿宋" w:hAnsi="仿宋" w:eastAsia="仿宋"/>
          <w:color w:val="auto"/>
          <w:sz w:val="32"/>
          <w:szCs w:val="32"/>
        </w:rPr>
        <w:t>%。</w:t>
      </w:r>
    </w:p>
    <w:p>
      <w:pPr>
        <w:spacing w:line="560" w:lineRule="exact"/>
        <w:ind w:firstLine="640" w:firstLineChars="200"/>
        <w:rPr>
          <w:rFonts w:ascii="仿宋" w:hAnsi="仿宋" w:eastAsia="仿宋"/>
          <w:sz w:val="32"/>
          <w:szCs w:val="32"/>
        </w:rPr>
      </w:pPr>
    </w:p>
    <w:p>
      <w:pPr>
        <w:spacing w:line="560" w:lineRule="exact"/>
        <w:ind w:firstLine="630" w:firstLineChars="196"/>
        <w:rPr>
          <w:rFonts w:ascii="仿宋" w:hAnsi="仿宋" w:eastAsia="仿宋" w:cs="黑体"/>
          <w:b/>
          <w:sz w:val="32"/>
          <w:szCs w:val="32"/>
        </w:rPr>
      </w:pPr>
      <w:r>
        <w:rPr>
          <w:rFonts w:hint="eastAsia" w:ascii="仿宋" w:hAnsi="仿宋" w:eastAsia="仿宋" w:cs="黑体"/>
          <w:b/>
          <w:bCs/>
          <w:sz w:val="32"/>
          <w:szCs w:val="32"/>
        </w:rPr>
        <w:t>六、一般公共预算财政拨款基本支出决算情况说明。</w:t>
      </w:r>
    </w:p>
    <w:p>
      <w:pPr>
        <w:tabs>
          <w:tab w:val="center" w:pos="4473"/>
        </w:tabs>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年度财政拨款基本支出13</w:t>
      </w:r>
      <w:r>
        <w:rPr>
          <w:rFonts w:hint="eastAsia" w:ascii="仿宋" w:hAnsi="仿宋" w:eastAsia="仿宋"/>
          <w:sz w:val="32"/>
          <w:szCs w:val="32"/>
          <w:lang w:val="en-US" w:eastAsia="zh-CN"/>
        </w:rPr>
        <w:t>7.73</w:t>
      </w:r>
      <w:r>
        <w:rPr>
          <w:rFonts w:hint="eastAsia" w:ascii="仿宋" w:hAnsi="仿宋" w:eastAsia="仿宋"/>
          <w:sz w:val="32"/>
          <w:szCs w:val="32"/>
        </w:rPr>
        <w:t>万元，其中：人员经费113.</w:t>
      </w:r>
      <w:r>
        <w:rPr>
          <w:rFonts w:hint="eastAsia" w:ascii="仿宋" w:hAnsi="仿宋" w:eastAsia="仿宋"/>
          <w:sz w:val="32"/>
          <w:szCs w:val="32"/>
          <w:lang w:val="en-US" w:eastAsia="zh-CN"/>
        </w:rPr>
        <w:t>46</w:t>
      </w:r>
      <w:r>
        <w:rPr>
          <w:rFonts w:hint="eastAsia" w:ascii="仿宋" w:hAnsi="仿宋" w:eastAsia="仿宋"/>
          <w:sz w:val="32"/>
          <w:szCs w:val="32"/>
        </w:rPr>
        <w:t>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2</w:t>
      </w:r>
      <w:r>
        <w:rPr>
          <w:rFonts w:hint="eastAsia" w:ascii="仿宋" w:hAnsi="仿宋" w:eastAsia="仿宋"/>
          <w:sz w:val="32"/>
          <w:szCs w:val="32"/>
          <w:lang w:val="en-US" w:eastAsia="zh-CN"/>
        </w:rPr>
        <w:t>4.27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3" w:firstLineChars="200"/>
        <w:rPr>
          <w:rFonts w:ascii="楷体" w:hAnsi="楷体" w:eastAsia="楷体" w:cs="楷体"/>
          <w:b/>
          <w:sz w:val="32"/>
          <w:szCs w:val="32"/>
        </w:rPr>
      </w:pPr>
      <w:r>
        <w:rPr>
          <w:rFonts w:hint="eastAsia" w:ascii="楷体" w:hAnsi="楷体" w:eastAsia="楷体" w:cs="楷体"/>
          <w:b/>
          <w:sz w:val="32"/>
          <w:szCs w:val="32"/>
        </w:rPr>
        <w:t>（一）政府性基金预算财政拨款支出决算总体情况。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年度政府性基金预算财政拨款支出数持平。本年没有发生与该表相关的收支决算数据。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（二）政府性基金预算财政拨款支出决算结构情况。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年度政府性基金预算财政拨款支出0万元。本年没有发生与该表相关的收支决算数据。</w:t>
      </w:r>
    </w:p>
    <w:p>
      <w:pPr>
        <w:ind w:firstLine="643" w:firstLineChars="200"/>
        <w:rPr>
          <w:rFonts w:ascii="楷体" w:hAnsi="楷体" w:eastAsia="楷体" w:cs="楷体"/>
          <w:b/>
          <w:sz w:val="32"/>
          <w:szCs w:val="32"/>
        </w:rPr>
      </w:pPr>
      <w:r>
        <w:rPr>
          <w:rFonts w:hint="eastAsia" w:ascii="楷体" w:hAnsi="楷体" w:eastAsia="楷体" w:cs="楷体"/>
          <w:b/>
          <w:sz w:val="32"/>
          <w:szCs w:val="32"/>
        </w:rPr>
        <w:t>（三）政府性基金预算财政拨款支出决算具体情况。</w:t>
      </w:r>
    </w:p>
    <w:p>
      <w:pPr>
        <w:ind w:firstLine="800" w:firstLineChars="250"/>
        <w:rPr>
          <w:rFonts w:ascii="仿宋_GB2312" w:hAnsi="ˎ̥" w:eastAsia="仿宋_GB2312"/>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年度政府性基金预算财政拨款支出年初预算为0万元，支出决算为0万元</w:t>
      </w:r>
      <w:r>
        <w:rPr>
          <w:rFonts w:hint="eastAsia" w:ascii="仿宋_GB2312" w:hAnsi="ˎ̥" w:eastAsia="仿宋_GB2312"/>
          <w:sz w:val="32"/>
          <w:szCs w:val="32"/>
        </w:rPr>
        <w:t>。</w:t>
      </w:r>
      <w:r>
        <w:rPr>
          <w:rFonts w:hint="eastAsia" w:ascii="仿宋" w:hAnsi="仿宋" w:eastAsia="仿宋"/>
          <w:sz w:val="32"/>
          <w:szCs w:val="32"/>
        </w:rPr>
        <w:t>与20</w:t>
      </w:r>
      <w:r>
        <w:rPr>
          <w:rFonts w:hint="eastAsia" w:ascii="仿宋" w:hAnsi="仿宋" w:eastAsia="仿宋"/>
          <w:sz w:val="32"/>
          <w:szCs w:val="32"/>
          <w:lang w:val="en-US" w:eastAsia="zh-CN"/>
        </w:rPr>
        <w:t>20</w:t>
      </w:r>
      <w:r>
        <w:rPr>
          <w:rFonts w:hint="eastAsia" w:ascii="仿宋" w:hAnsi="仿宋" w:eastAsia="仿宋"/>
          <w:sz w:val="32"/>
          <w:szCs w:val="32"/>
        </w:rPr>
        <w:t>年度政府性基金预算财政拨款支出数持平。本年没有发生与该表相关的收支决算数据。</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800" w:firstLineChars="25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年度国有资本经营预算财政拨款支出0万元占本年支出合计的0%。与20</w:t>
      </w:r>
      <w:r>
        <w:rPr>
          <w:rFonts w:hint="eastAsia" w:ascii="仿宋" w:hAnsi="仿宋" w:eastAsia="仿宋"/>
          <w:sz w:val="32"/>
          <w:szCs w:val="32"/>
          <w:lang w:val="en-US" w:eastAsia="zh-CN"/>
        </w:rPr>
        <w:t>20</w:t>
      </w:r>
      <w:r>
        <w:rPr>
          <w:rFonts w:hint="eastAsia" w:ascii="仿宋" w:hAnsi="仿宋" w:eastAsia="仿宋"/>
          <w:sz w:val="32"/>
          <w:szCs w:val="32"/>
        </w:rPr>
        <w:t>年度国有资本经营预算财政拨款支出数持平。本年没有发生与该表相关的收支决算数据。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年度国有资本经营预算财政拨款支出0万元。本年没有发生与该表相关的收支决算数据。</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年度国有资本经营预算财政拨款支出年初预算为0万元，支出决算为0万元。本年没有发生与该表相关的收支决算数据。</w:t>
      </w:r>
    </w:p>
    <w:p>
      <w:pPr>
        <w:spacing w:line="560" w:lineRule="exact"/>
        <w:ind w:firstLine="790" w:firstLineChars="246"/>
        <w:rPr>
          <w:rFonts w:ascii="仿宋" w:hAnsi="仿宋" w:eastAsia="仿宋"/>
          <w:b/>
          <w:sz w:val="32"/>
          <w:szCs w:val="32"/>
        </w:rPr>
      </w:pPr>
      <w:r>
        <w:rPr>
          <w:rFonts w:hint="eastAsia" w:ascii="仿宋" w:hAnsi="仿宋" w:eastAsia="仿宋" w:cs="黑体"/>
          <w:b/>
          <w:bCs/>
          <w:sz w:val="32"/>
          <w:szCs w:val="32"/>
        </w:rPr>
        <w:t>九、一般公共预算财政拨款“三公”经费支出决算情况说明</w:t>
      </w:r>
    </w:p>
    <w:p>
      <w:pPr>
        <w:spacing w:line="560" w:lineRule="exact"/>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spacing w:line="560" w:lineRule="exact"/>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年度一般公共预算财政拨款“三公”经费支出预算为2.</w:t>
      </w:r>
      <w:r>
        <w:rPr>
          <w:rFonts w:hint="eastAsia" w:ascii="仿宋" w:hAnsi="仿宋" w:eastAsia="仿宋"/>
          <w:sz w:val="32"/>
          <w:szCs w:val="32"/>
          <w:lang w:val="en-US" w:eastAsia="zh-CN"/>
        </w:rPr>
        <w:t>5</w:t>
      </w:r>
      <w:r>
        <w:rPr>
          <w:rFonts w:hint="eastAsia" w:ascii="仿宋" w:hAnsi="仿宋" w:eastAsia="仿宋"/>
          <w:sz w:val="32"/>
          <w:szCs w:val="32"/>
        </w:rPr>
        <w:t>5万元，支出决算为1.9</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74.51</w:t>
      </w:r>
      <w:r>
        <w:rPr>
          <w:rFonts w:hint="eastAsia" w:ascii="仿宋" w:hAnsi="仿宋" w:eastAsia="仿宋"/>
          <w:sz w:val="32"/>
          <w:szCs w:val="32"/>
        </w:rPr>
        <w:t>%。</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（二）一般公共预算财政拨款“三公”经费支出决算具体情况说明。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年度一般公共预算财政拨款“三公”经费支出决算中，因公出国（境）费支出决算0万元，占0%；公务用车购置及运行费支出决算1.9</w:t>
      </w:r>
      <w:r>
        <w:rPr>
          <w:rFonts w:hint="eastAsia" w:ascii="仿宋" w:hAnsi="仿宋" w:eastAsia="仿宋"/>
          <w:sz w:val="32"/>
          <w:szCs w:val="32"/>
          <w:lang w:val="en-US" w:eastAsia="zh-CN"/>
        </w:rPr>
        <w:t>0</w:t>
      </w:r>
      <w:r>
        <w:rPr>
          <w:rFonts w:hint="eastAsia" w:ascii="仿宋" w:hAnsi="仿宋" w:eastAsia="仿宋"/>
          <w:sz w:val="32"/>
          <w:szCs w:val="32"/>
        </w:rPr>
        <w:t>万元，占100%；公务接待费支出决算0万元，占0%。具体情况如下：</w:t>
      </w:r>
    </w:p>
    <w:p>
      <w:pPr>
        <w:ind w:firstLine="643" w:firstLineChars="200"/>
        <w:rPr>
          <w:rFonts w:ascii="仿宋" w:hAnsi="仿宋" w:eastAsia="仿宋"/>
          <w:sz w:val="32"/>
          <w:szCs w:val="32"/>
        </w:rPr>
      </w:pPr>
      <w:r>
        <w:rPr>
          <w:rFonts w:hint="eastAsia" w:ascii="仿宋" w:hAnsi="仿宋" w:eastAsia="仿宋"/>
          <w:b/>
          <w:sz w:val="32"/>
          <w:szCs w:val="32"/>
        </w:rPr>
        <w:t>1.因公出国（境）费支出0万元。</w:t>
      </w:r>
      <w:r>
        <w:rPr>
          <w:rFonts w:hint="eastAsia" w:ascii="仿宋" w:hAnsi="仿宋" w:eastAsia="仿宋"/>
          <w:sz w:val="32"/>
          <w:szCs w:val="32"/>
        </w:rPr>
        <w:t>全年安排因公出国（境）团组0</w:t>
      </w:r>
      <w:r>
        <w:rPr>
          <w:rStyle w:val="15"/>
          <w:rFonts w:hint="eastAsia" w:ascii="仿宋" w:hAnsi="仿宋" w:eastAsia="仿宋"/>
          <w:sz w:val="32"/>
          <w:szCs w:val="32"/>
        </w:rPr>
        <w:t>个</w:t>
      </w:r>
      <w:r>
        <w:rPr>
          <w:rFonts w:hint="eastAsia" w:ascii="仿宋" w:hAnsi="仿宋" w:eastAsia="仿宋"/>
          <w:sz w:val="32"/>
          <w:szCs w:val="32"/>
        </w:rPr>
        <w:t>，因公出国（境）0人次。与20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2.公务用车购置及运行费支出1.9</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其中：</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公务用车购置支出0万元</w:t>
      </w:r>
      <w:r>
        <w:rPr>
          <w:rFonts w:hint="eastAsia" w:ascii="仿宋" w:hAnsi="仿宋" w:eastAsia="仿宋"/>
          <w:sz w:val="32"/>
          <w:szCs w:val="32"/>
        </w:rPr>
        <w:t>，全年购置公务用车0辆，年末公务用车保有量1辆。</w:t>
      </w:r>
    </w:p>
    <w:p>
      <w:pPr>
        <w:spacing w:line="560" w:lineRule="exact"/>
        <w:ind w:firstLine="643" w:firstLineChars="200"/>
        <w:rPr>
          <w:rFonts w:ascii="仿宋" w:hAnsi="仿宋" w:eastAsia="仿宋"/>
          <w:sz w:val="32"/>
          <w:szCs w:val="32"/>
        </w:rPr>
      </w:pPr>
      <w:r>
        <w:rPr>
          <w:rFonts w:hint="eastAsia" w:ascii="仿宋" w:hAnsi="仿宋" w:eastAsia="仿宋"/>
          <w:b/>
          <w:sz w:val="32"/>
          <w:szCs w:val="32"/>
        </w:rPr>
        <w:t>公务用车运行维护费支出1.9</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，主要用于公务用车燃油费、维修费及车辆保险费的支出。</w:t>
      </w:r>
    </w:p>
    <w:p>
      <w:pPr>
        <w:spacing w:line="560" w:lineRule="exact"/>
        <w:ind w:firstLine="640" w:firstLineChars="200"/>
        <w:rPr>
          <w:rFonts w:ascii="仿宋" w:hAnsi="仿宋" w:eastAsia="仿宋"/>
          <w:bCs/>
          <w:sz w:val="32"/>
          <w:szCs w:val="32"/>
        </w:rPr>
      </w:pPr>
      <w:r>
        <w:rPr>
          <w:rFonts w:hint="eastAsia" w:ascii="仿宋" w:hAnsi="仿宋" w:eastAsia="仿宋"/>
          <w:bCs/>
          <w:sz w:val="32"/>
          <w:szCs w:val="32"/>
        </w:rPr>
        <w:t>公务用车购置及运行费支出决算数</w:t>
      </w:r>
      <w:r>
        <w:rPr>
          <w:rFonts w:hint="eastAsia" w:ascii="仿宋" w:hAnsi="仿宋" w:eastAsia="仿宋"/>
          <w:sz w:val="32"/>
          <w:szCs w:val="32"/>
        </w:rPr>
        <w:t>比预算数减少0.</w:t>
      </w:r>
      <w:r>
        <w:rPr>
          <w:rFonts w:hint="eastAsia" w:ascii="仿宋" w:hAnsi="仿宋" w:eastAsia="仿宋"/>
          <w:sz w:val="32"/>
          <w:szCs w:val="32"/>
          <w:lang w:val="en-US" w:eastAsia="zh-CN"/>
        </w:rPr>
        <w:t>65</w:t>
      </w:r>
      <w:r>
        <w:rPr>
          <w:rFonts w:hint="eastAsia" w:ascii="仿宋" w:hAnsi="仿宋" w:eastAsia="仿宋"/>
          <w:sz w:val="32"/>
          <w:szCs w:val="32"/>
        </w:rPr>
        <w:t>万元，下降</w:t>
      </w:r>
      <w:r>
        <w:rPr>
          <w:rFonts w:hint="eastAsia" w:ascii="仿宋" w:hAnsi="仿宋" w:eastAsia="仿宋"/>
          <w:sz w:val="32"/>
          <w:szCs w:val="32"/>
          <w:lang w:val="en-US" w:eastAsia="zh-CN"/>
        </w:rPr>
        <w:t>25.49</w:t>
      </w:r>
      <w:r>
        <w:rPr>
          <w:rFonts w:hint="eastAsia" w:ascii="仿宋" w:hAnsi="仿宋" w:eastAsia="仿宋"/>
          <w:sz w:val="32"/>
          <w:szCs w:val="32"/>
        </w:rPr>
        <w:t>%。主要原因是</w:t>
      </w:r>
      <w:r>
        <w:rPr>
          <w:rFonts w:hint="eastAsia" w:ascii="仿宋" w:hAnsi="仿宋" w:eastAsia="仿宋"/>
          <w:color w:val="000000"/>
          <w:sz w:val="32"/>
          <w:szCs w:val="32"/>
        </w:rPr>
        <w:t>单位加强公车管理，严格控制公务用车运行成本</w:t>
      </w:r>
      <w:r>
        <w:rPr>
          <w:rFonts w:hint="eastAsia" w:ascii="仿宋" w:hAnsi="仿宋" w:eastAsia="仿宋"/>
          <w:sz w:val="32"/>
          <w:szCs w:val="32"/>
        </w:rPr>
        <w:t>。</w:t>
      </w:r>
    </w:p>
    <w:p>
      <w:pPr>
        <w:spacing w:line="560" w:lineRule="exact"/>
        <w:ind w:firstLine="630" w:firstLineChars="196"/>
        <w:rPr>
          <w:rFonts w:ascii="仿宋" w:hAnsi="仿宋" w:eastAsia="仿宋"/>
          <w:sz w:val="32"/>
          <w:szCs w:val="32"/>
        </w:rPr>
      </w:pPr>
      <w:r>
        <w:rPr>
          <w:rFonts w:hint="eastAsia" w:ascii="仿宋" w:hAnsi="仿宋" w:eastAsia="仿宋"/>
          <w:b/>
          <w:sz w:val="32"/>
          <w:szCs w:val="32"/>
        </w:rPr>
        <w:t>3.公务接待费支出0万元</w:t>
      </w:r>
      <w:r>
        <w:rPr>
          <w:rFonts w:hint="eastAsia" w:ascii="仿宋" w:hAnsi="仿宋" w:eastAsia="仿宋"/>
          <w:sz w:val="32"/>
          <w:szCs w:val="32"/>
        </w:rPr>
        <w:t>。其中：</w:t>
      </w:r>
    </w:p>
    <w:p>
      <w:pPr>
        <w:ind w:firstLine="640" w:firstLineChars="200"/>
        <w:rPr>
          <w:rFonts w:ascii="仿宋" w:hAnsi="仿宋" w:eastAsia="仿宋"/>
          <w:sz w:val="32"/>
          <w:szCs w:val="32"/>
        </w:rPr>
      </w:pPr>
      <w:r>
        <w:rPr>
          <w:rFonts w:hint="eastAsia" w:ascii="仿宋" w:hAnsi="仿宋" w:eastAsia="仿宋"/>
          <w:sz w:val="32"/>
          <w:szCs w:val="32"/>
        </w:rPr>
        <w:t>国内接待费支出0万元，国内公务接待0批次，接待0人次。与20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ind w:firstLine="640" w:firstLineChars="200"/>
        <w:rPr>
          <w:rFonts w:ascii="仿宋" w:hAnsi="仿宋" w:eastAsia="仿宋"/>
          <w:sz w:val="32"/>
          <w:szCs w:val="32"/>
        </w:rPr>
      </w:pPr>
      <w:r>
        <w:rPr>
          <w:rFonts w:hint="eastAsia" w:ascii="仿宋" w:hAnsi="仿宋" w:eastAsia="仿宋"/>
          <w:sz w:val="32"/>
          <w:szCs w:val="32"/>
        </w:rPr>
        <w:t>国（境）外接待费支出0万元，国（境）外公务接待0批次，接待0人次。与20</w:t>
      </w:r>
      <w:r>
        <w:rPr>
          <w:rFonts w:hint="eastAsia" w:ascii="仿宋" w:hAnsi="仿宋" w:eastAsia="仿宋"/>
          <w:sz w:val="32"/>
          <w:szCs w:val="32"/>
          <w:lang w:val="en-US" w:eastAsia="zh-CN"/>
        </w:rPr>
        <w:t>20</w:t>
      </w:r>
      <w:r>
        <w:rPr>
          <w:rFonts w:hint="eastAsia" w:ascii="仿宋" w:hAnsi="仿宋" w:eastAsia="仿宋"/>
          <w:sz w:val="32"/>
          <w:szCs w:val="32"/>
        </w:rPr>
        <w:t>年度决算数持平。</w:t>
      </w:r>
    </w:p>
    <w:p>
      <w:pPr>
        <w:spacing w:line="560" w:lineRule="exact"/>
        <w:ind w:firstLine="640" w:firstLineChars="200"/>
        <w:rPr>
          <w:rFonts w:ascii="仿宋" w:hAnsi="仿宋" w:eastAsia="仿宋"/>
          <w:sz w:val="32"/>
          <w:szCs w:val="32"/>
        </w:rPr>
      </w:pP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spacing w:before="100" w:beforeAutospacing="1" w:after="100" w:afterAutospacing="1"/>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政府性基金预算财政拨款“三公”经费支出合计0.00万元。其中：因公出国（境）费支出决算0.00万元，占0%；公务用车购置及运行费支出决算0.00万元，占0%；公务接待费支出决算0.00万元，占0%。本年没有发生与该表相关的收支决算数据。</w:t>
      </w:r>
    </w:p>
    <w:p>
      <w:pPr>
        <w:ind w:firstLine="627" w:firstLineChars="196"/>
        <w:rPr>
          <w:rFonts w:ascii="黑体" w:hAnsi="黑体" w:eastAsia="黑体" w:cs="黑体"/>
          <w:bCs/>
          <w:sz w:val="32"/>
          <w:szCs w:val="32"/>
        </w:rPr>
      </w:pPr>
      <w:r>
        <w:rPr>
          <w:rFonts w:hint="eastAsia" w:ascii="黑体" w:hAnsi="黑体" w:eastAsia="黑体" w:cs="黑体"/>
          <w:bCs/>
          <w:sz w:val="32"/>
          <w:szCs w:val="32"/>
        </w:rPr>
        <w:t>十一、国有资本经营预算财政拨款“三公”经费支出决算情况说明</w:t>
      </w:r>
    </w:p>
    <w:p>
      <w:pPr>
        <w:spacing w:before="100" w:beforeAutospacing="1" w:after="100" w:afterAutospacing="1"/>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三公”经费支出合计0.00万元。其中：因公出国（境）费支出决算0.00万元，占0%；公务用车购置及运行费支出决算0.00万元，占0%；公务接待费支出决算0.00万元，占0%。本年没有发生与该表相关的收支决算数据。</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十二、预算绩效情况说明。</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根据财政预算绩效管理要求，我单位组织对202</w:t>
      </w:r>
      <w:r>
        <w:rPr>
          <w:rFonts w:hint="eastAsia" w:ascii="仿宋" w:hAnsi="仿宋" w:eastAsia="仿宋"/>
          <w:sz w:val="32"/>
          <w:szCs w:val="32"/>
          <w:lang w:val="en-US" w:eastAsia="zh-CN"/>
        </w:rPr>
        <w:t>1</w:t>
      </w:r>
      <w:r>
        <w:rPr>
          <w:rFonts w:hint="eastAsia" w:ascii="仿宋" w:hAnsi="仿宋" w:eastAsia="仿宋"/>
          <w:sz w:val="32"/>
          <w:szCs w:val="32"/>
        </w:rPr>
        <w:t>年度一般公共预算项目支出全面开展绩效自评。</w:t>
      </w:r>
      <w:r>
        <w:rPr>
          <w:rFonts w:hint="eastAsia" w:ascii="仿宋" w:hAnsi="仿宋" w:eastAsia="仿宋"/>
          <w:sz w:val="32"/>
          <w:szCs w:val="32"/>
          <w:lang w:val="en-US" w:eastAsia="zh-CN"/>
        </w:rPr>
        <w:t>我单位无1000万元以上的重点项目，本次</w:t>
      </w:r>
      <w:r>
        <w:rPr>
          <w:rFonts w:hint="eastAsia" w:ascii="仿宋" w:hAnsi="仿宋" w:eastAsia="仿宋"/>
          <w:sz w:val="32"/>
          <w:szCs w:val="32"/>
        </w:rPr>
        <w:t>自评项目1个，设施维护与改造项目，涉及资金1</w:t>
      </w:r>
      <w:r>
        <w:rPr>
          <w:rFonts w:hint="eastAsia" w:ascii="仿宋" w:hAnsi="仿宋" w:eastAsia="仿宋"/>
          <w:sz w:val="32"/>
          <w:szCs w:val="32"/>
          <w:lang w:val="en-US" w:eastAsia="zh-CN"/>
        </w:rPr>
        <w:t>84.03</w:t>
      </w:r>
      <w:r>
        <w:rPr>
          <w:rFonts w:hint="eastAsia" w:ascii="仿宋" w:hAnsi="仿宋" w:eastAsia="仿宋"/>
          <w:sz w:val="32"/>
          <w:szCs w:val="32"/>
        </w:rPr>
        <w:t>万元，自评覆盖率达到100%。</w:t>
      </w:r>
    </w:p>
    <w:p>
      <w:pPr>
        <w:spacing w:line="560" w:lineRule="exact"/>
        <w:ind w:firstLine="640" w:firstLineChars="200"/>
        <w:rPr>
          <w:rFonts w:ascii="仿宋" w:hAnsi="仿宋" w:eastAsia="仿宋"/>
          <w:bCs/>
          <w:sz w:val="32"/>
          <w:szCs w:val="32"/>
        </w:rPr>
      </w:pPr>
      <w:r>
        <w:rPr>
          <w:rFonts w:hint="eastAsia" w:ascii="仿宋" w:hAnsi="仿宋" w:eastAsia="仿宋"/>
          <w:sz w:val="32"/>
          <w:szCs w:val="32"/>
        </w:rPr>
        <w:t>从评价情况来看，我所完成</w:t>
      </w:r>
      <w:r>
        <w:rPr>
          <w:rFonts w:hint="eastAsia" w:ascii="仿宋" w:hAnsi="仿宋" w:eastAsia="仿宋"/>
          <w:bCs/>
          <w:sz w:val="32"/>
          <w:szCs w:val="32"/>
        </w:rPr>
        <w:t>航道保护里程达119.5公里（沿海10.5公里，内河109公里）</w:t>
      </w:r>
      <w:r>
        <w:rPr>
          <w:rFonts w:hint="eastAsia" w:ascii="仿宋" w:hAnsi="仿宋" w:eastAsia="仿宋" w:cs="仿宋"/>
          <w:bCs/>
          <w:sz w:val="32"/>
          <w:szCs w:val="32"/>
        </w:rPr>
        <w:t>,</w:t>
      </w:r>
      <w:r>
        <w:rPr>
          <w:rFonts w:hint="eastAsia" w:ascii="仿宋" w:hAnsi="仿宋" w:eastAsia="仿宋"/>
          <w:bCs/>
          <w:sz w:val="32"/>
          <w:szCs w:val="32"/>
        </w:rPr>
        <w:t xml:space="preserve"> 清理碍航船舶及碍航物，监管沿海航道10.5公里</w:t>
      </w:r>
      <w:r>
        <w:rPr>
          <w:rFonts w:hint="eastAsia" w:ascii="仿宋" w:hAnsi="仿宋" w:eastAsia="仿宋" w:cs="仿宋"/>
          <w:bCs/>
          <w:sz w:val="32"/>
          <w:szCs w:val="32"/>
        </w:rPr>
        <w:t>。航道巡查出勤率达95%以上（洋浦港航道6次/月，等外级航道1次/月）；</w:t>
      </w:r>
      <w:r>
        <w:rPr>
          <w:rFonts w:hint="eastAsia" w:ascii="仿宋" w:hAnsi="仿宋" w:eastAsia="仿宋"/>
          <w:bCs/>
          <w:sz w:val="32"/>
          <w:szCs w:val="32"/>
        </w:rPr>
        <w:t>监管出勤率达95%以上；</w:t>
      </w:r>
      <w:r>
        <w:rPr>
          <w:rFonts w:hint="eastAsia" w:ascii="仿宋" w:hAnsi="仿宋" w:eastAsia="仿宋" w:cs="仿宋"/>
          <w:sz w:val="32"/>
          <w:szCs w:val="32"/>
        </w:rPr>
        <w:t>管理养护航标29座（大型导标4座、浮标13座、灯桩12）；航标维护符合航标管理办法和内河航道维护技术规范所要求的技术标准和质量标准，</w:t>
      </w:r>
      <w:r>
        <w:rPr>
          <w:rFonts w:hint="eastAsia" w:ascii="仿宋" w:hAnsi="仿宋" w:eastAsia="仿宋" w:cs="仿宋"/>
          <w:bCs/>
          <w:sz w:val="32"/>
          <w:szCs w:val="32"/>
        </w:rPr>
        <w:t>符合达标率98%；</w:t>
      </w:r>
      <w:r>
        <w:rPr>
          <w:rFonts w:hint="eastAsia" w:ascii="仿宋" w:hAnsi="仿宋" w:eastAsia="仿宋" w:cs="仿宋"/>
          <w:sz w:val="32"/>
          <w:szCs w:val="32"/>
        </w:rPr>
        <w:t>航标维护正常率达100%；确保航道畅通，得到海事、港口、引航等部门的好评。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根据财政预算绩效管理要求，我单位也组织对202</w:t>
      </w:r>
      <w:r>
        <w:rPr>
          <w:rFonts w:hint="eastAsia" w:ascii="仿宋" w:hAnsi="仿宋" w:eastAsia="仿宋"/>
          <w:sz w:val="32"/>
          <w:szCs w:val="32"/>
          <w:lang w:val="en-US" w:eastAsia="zh-CN"/>
        </w:rPr>
        <w:t>1</w:t>
      </w:r>
      <w:r>
        <w:rPr>
          <w:rFonts w:hint="eastAsia" w:ascii="仿宋" w:hAnsi="仿宋" w:eastAsia="仿宋"/>
          <w:sz w:val="32"/>
          <w:szCs w:val="32"/>
        </w:rPr>
        <w:t>年度一般公共预算整体支出全面开展绩效自评，涉及资金</w:t>
      </w:r>
      <w:r>
        <w:rPr>
          <w:rFonts w:hint="eastAsia" w:ascii="仿宋" w:hAnsi="仿宋" w:eastAsia="仿宋"/>
          <w:sz w:val="32"/>
          <w:szCs w:val="32"/>
          <w:lang w:val="en-US" w:eastAsia="zh-CN"/>
        </w:rPr>
        <w:t>321.76</w:t>
      </w:r>
      <w:r>
        <w:rPr>
          <w:rFonts w:hint="eastAsia" w:ascii="仿宋" w:hAnsi="仿宋" w:eastAsia="仿宋"/>
          <w:sz w:val="32"/>
          <w:szCs w:val="32"/>
        </w:rPr>
        <w:t>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从评价情况来看，按照“三定”方案确定的工作职责，较好地完成了单位工作职责，整体支出实现了预期效果。202</w:t>
      </w:r>
      <w:r>
        <w:rPr>
          <w:rFonts w:hint="eastAsia" w:ascii="仿宋" w:hAnsi="仿宋" w:eastAsia="仿宋"/>
          <w:sz w:val="32"/>
          <w:szCs w:val="32"/>
          <w:lang w:val="en-US" w:eastAsia="zh-CN"/>
        </w:rPr>
        <w:t>1</w:t>
      </w:r>
      <w:r>
        <w:rPr>
          <w:rFonts w:hint="eastAsia" w:ascii="仿宋" w:hAnsi="仿宋" w:eastAsia="仿宋"/>
          <w:sz w:val="32"/>
          <w:szCs w:val="32"/>
        </w:rPr>
        <w:t>年的整体支出进度达到100%，体现了预算编制的科学性和合理性，保障了我所正常工作的顺利开展，确保了航道的正常畅通，航标的正常发光。</w:t>
      </w:r>
    </w:p>
    <w:p>
      <w:pPr>
        <w:spacing w:line="560"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w:t>
      </w:r>
      <w:r>
        <w:rPr>
          <w:rFonts w:hint="eastAsia" w:ascii="楷体" w:hAnsi="楷体" w:eastAsia="楷体"/>
          <w:b/>
          <w:sz w:val="32"/>
          <w:szCs w:val="32"/>
        </w:rPr>
        <w:t>中项目</w:t>
      </w:r>
      <w:r>
        <w:rPr>
          <w:rFonts w:hint="eastAsia" w:ascii="楷体" w:hAnsi="楷体" w:eastAsia="楷体" w:cs="楷体"/>
          <w:b/>
          <w:sz w:val="32"/>
          <w:szCs w:val="32"/>
        </w:rPr>
        <w:t>绩效自评结果。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我单位今年在省本级部门决算中反映设施维护与改造项目绩效自评结果。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设施维护与改造项目绩效自评综述：根据年初设定的绩效目标，项目自评得分为100分。全年预算数为1</w:t>
      </w:r>
      <w:r>
        <w:rPr>
          <w:rFonts w:hint="eastAsia" w:ascii="仿宋" w:hAnsi="仿宋" w:eastAsia="仿宋"/>
          <w:sz w:val="32"/>
          <w:szCs w:val="32"/>
          <w:lang w:val="en-US" w:eastAsia="zh-CN"/>
        </w:rPr>
        <w:t>87.03</w:t>
      </w:r>
      <w:r>
        <w:rPr>
          <w:rFonts w:hint="eastAsia" w:ascii="仿宋" w:hAnsi="仿宋" w:eastAsia="仿宋"/>
          <w:sz w:val="32"/>
          <w:szCs w:val="32"/>
        </w:rPr>
        <w:t>万元，执行数为1</w:t>
      </w:r>
      <w:r>
        <w:rPr>
          <w:rFonts w:hint="eastAsia" w:ascii="仿宋" w:hAnsi="仿宋" w:eastAsia="仿宋"/>
          <w:sz w:val="32"/>
          <w:szCs w:val="32"/>
          <w:lang w:val="en-US" w:eastAsia="zh-CN"/>
        </w:rPr>
        <w:t>84.03</w:t>
      </w:r>
      <w:r>
        <w:rPr>
          <w:rFonts w:hint="eastAsia" w:ascii="仿宋" w:hAnsi="仿宋" w:eastAsia="仿宋"/>
          <w:sz w:val="32"/>
          <w:szCs w:val="32"/>
        </w:rPr>
        <w:t>万元，完成预算的</w:t>
      </w:r>
      <w:r>
        <w:rPr>
          <w:rFonts w:hint="eastAsia" w:ascii="仿宋" w:hAnsi="仿宋" w:eastAsia="仿宋"/>
          <w:sz w:val="32"/>
          <w:szCs w:val="32"/>
          <w:lang w:val="en-US" w:eastAsia="zh-CN"/>
        </w:rPr>
        <w:t>98.40</w:t>
      </w:r>
      <w:r>
        <w:rPr>
          <w:rFonts w:hint="eastAsia" w:ascii="仿宋" w:hAnsi="仿宋" w:eastAsia="仿宋"/>
          <w:sz w:val="32"/>
          <w:szCs w:val="32"/>
        </w:rPr>
        <w:t>%。项目绩效目标完成情况：一是我所按照《中国海区水上助航标志》等有关技术规范及规定的要求管理养护。在航标维护工作中我所坚持日了望、周巡查、月测试、季保养、年轮换和台风前后检查修复的工作制度，确保了我所现有29座航标的位置正确、结构良好、安装牢固，航标外形尺寸符合规定、颜色鲜明、灯光明亮、灯质和视距符合要求；航标通视有效范围内无遮挡物。202</w:t>
      </w:r>
      <w:r>
        <w:rPr>
          <w:rFonts w:hint="eastAsia" w:ascii="仿宋" w:hAnsi="仿宋" w:eastAsia="仿宋"/>
          <w:sz w:val="32"/>
          <w:szCs w:val="32"/>
          <w:lang w:val="en-US" w:eastAsia="zh-CN"/>
        </w:rPr>
        <w:t>1</w:t>
      </w:r>
      <w:r>
        <w:rPr>
          <w:rFonts w:hint="eastAsia" w:ascii="仿宋" w:hAnsi="仿宋" w:eastAsia="仿宋"/>
          <w:sz w:val="32"/>
          <w:szCs w:val="32"/>
        </w:rPr>
        <w:t>年航标维护正常率为100%；二是在航道管理工作中，我所除了按每月计划进行航道巡查外，还和海事、港口等部门形成了互通航道信息的工作机制，及时有效地处理了多起渔船占用航道的事件，有效保障了航道的畅通；三是我所航道航标管理工作有较完善的管理规章制度体系，包括了《航道养护管理规定》、《内河航道维护技术规范》、《中国海区水上助航标志》等相关规范以及我所制度的《航道巡查工作制度》、《航标检查工作制度》、《航标作业管理规则》、《船艇管理工作制度》等规章制度，同时我所还通过省局的航道养护检查考核，从而确保了我所设施维护与改造项目的顺利实施、完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发现的主要问题及原因：一是内控制度不完善；二是实施项目所需的专用设备缺乏，如缺乏浮标专用的投放、回收航标工作船，投放、回收相关的作业落后，安全性不足。航道工作艇抗浪性弱，工作海域适应性差；三是缺乏浮标保养的设备设施，在保养的质量、效率上仍需要提高；四是航道航标管理人员的综合水平有待提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下一步改进措施：一是加强内控制度建设，严格执行规章制度。在项目实施过程中，要严格执行相关的规章制度，发现问题的要及时改正，不断完善内控制度建设；二是节约成本，提高项目质量。在项目实施前期，项目资金达到政府采购限额标准要求的要走相关采购程序，没有达到限额标准的也要按内控制度要求，进行询价等方式，选择成本低质量优的进行项目实施；三是加强项目管理。不断完善项目管理制度建设，完善组织管理，责任到位，分工合作，严格按合同约定实施项目；四是确保廉政建设。在项目组织实施过程中，要加强廉政建设，确保项目廉洁高效，优质安全；五是做好安全生产工作。在项目实施过程中，要坚决贯彻“安全第一，预防为主”的方针，认真落实安全生产责任，切实做好安全生产工作。</w:t>
      </w:r>
    </w:p>
    <w:p>
      <w:pPr>
        <w:spacing w:line="560" w:lineRule="exact"/>
        <w:ind w:firstLine="640" w:firstLineChars="200"/>
        <w:rPr>
          <w:rFonts w:ascii="仿宋" w:hAnsi="仿宋" w:eastAsia="仿宋"/>
          <w:bCs/>
          <w:sz w:val="32"/>
          <w:szCs w:val="32"/>
        </w:rPr>
      </w:pPr>
      <w:r>
        <w:rPr>
          <w:rFonts w:hint="eastAsia" w:ascii="仿宋" w:hAnsi="仿宋" w:eastAsia="仿宋"/>
          <w:sz w:val="32"/>
          <w:szCs w:val="32"/>
        </w:rPr>
        <w:t>设施维护与改造项目绩效自评综述：</w:t>
      </w:r>
      <w:r>
        <w:rPr>
          <w:rFonts w:hint="eastAsia" w:ascii="仿宋" w:hAnsi="仿宋" w:eastAsia="仿宋"/>
          <w:bCs/>
          <w:sz w:val="32"/>
          <w:szCs w:val="32"/>
        </w:rPr>
        <w:t>航道保护里程达119.5公里（沿海10.5公里，内河109公里）</w:t>
      </w:r>
      <w:r>
        <w:rPr>
          <w:rFonts w:hint="eastAsia" w:ascii="仿宋" w:hAnsi="仿宋" w:eastAsia="仿宋" w:cs="仿宋"/>
          <w:bCs/>
          <w:sz w:val="32"/>
          <w:szCs w:val="32"/>
        </w:rPr>
        <w:t>,</w:t>
      </w:r>
      <w:r>
        <w:rPr>
          <w:rFonts w:hint="eastAsia" w:ascii="仿宋" w:hAnsi="仿宋" w:eastAsia="仿宋"/>
          <w:bCs/>
          <w:sz w:val="32"/>
          <w:szCs w:val="32"/>
        </w:rPr>
        <w:t xml:space="preserve"> 清理碍航船舶及碍航物，监管沿海航道10.5公里</w:t>
      </w:r>
      <w:r>
        <w:rPr>
          <w:rFonts w:hint="eastAsia" w:ascii="仿宋" w:hAnsi="仿宋" w:eastAsia="仿宋" w:cs="仿宋"/>
          <w:bCs/>
          <w:sz w:val="32"/>
          <w:szCs w:val="32"/>
        </w:rPr>
        <w:t>。航道巡查出勤率达95%以上（洋浦港航道6次/月，等外级航道1次/月）；</w:t>
      </w:r>
      <w:r>
        <w:rPr>
          <w:rFonts w:hint="eastAsia" w:ascii="仿宋" w:hAnsi="仿宋" w:eastAsia="仿宋"/>
          <w:bCs/>
          <w:sz w:val="32"/>
          <w:szCs w:val="32"/>
        </w:rPr>
        <w:t>监管出勤率达95%以上。</w:t>
      </w:r>
      <w:r>
        <w:rPr>
          <w:rFonts w:hint="eastAsia" w:ascii="仿宋" w:hAnsi="仿宋" w:eastAsia="仿宋" w:cs="仿宋"/>
          <w:sz w:val="32"/>
          <w:szCs w:val="32"/>
        </w:rPr>
        <w:t>管理养护航标29座（大型导标4座、浮标13座、灯桩12）；航标维护符合航标管理办法和内河航道维护技术规范所要求的技术标准和质量标准，</w:t>
      </w:r>
      <w:r>
        <w:rPr>
          <w:rFonts w:hint="eastAsia" w:ascii="仿宋" w:hAnsi="仿宋" w:eastAsia="仿宋" w:cs="仿宋"/>
          <w:bCs/>
          <w:sz w:val="32"/>
          <w:szCs w:val="32"/>
        </w:rPr>
        <w:t>符合达标率98%；</w:t>
      </w:r>
      <w:r>
        <w:rPr>
          <w:rFonts w:hint="eastAsia" w:ascii="仿宋" w:hAnsi="仿宋" w:eastAsia="仿宋" w:cs="仿宋"/>
          <w:sz w:val="32"/>
          <w:szCs w:val="32"/>
        </w:rPr>
        <w:t>航标维护正常率达100%；确保航道畅通，得到海事、港口、引航等部门的好评。</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（三）财政评价项目绩效评价结果。</w:t>
      </w:r>
    </w:p>
    <w:p>
      <w:pPr>
        <w:spacing w:line="578" w:lineRule="exact"/>
        <w:ind w:firstLine="640" w:firstLineChars="200"/>
        <w:rPr>
          <w:rFonts w:ascii="仿宋" w:hAnsi="仿宋" w:eastAsia="仿宋" w:cs="楷体"/>
          <w:sz w:val="32"/>
          <w:szCs w:val="32"/>
        </w:rPr>
      </w:pPr>
      <w:r>
        <w:rPr>
          <w:rFonts w:hint="eastAsia" w:ascii="仿宋" w:hAnsi="仿宋" w:eastAsia="仿宋" w:cs="楷体"/>
          <w:sz w:val="32"/>
          <w:szCs w:val="32"/>
        </w:rPr>
        <w:t>此项工作由财政开展，结果未出 ，此次不予公开。</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（四）部门评价项目绩效评价结果。</w:t>
      </w:r>
    </w:p>
    <w:p>
      <w:pPr>
        <w:spacing w:line="600" w:lineRule="exact"/>
        <w:ind w:firstLine="640" w:firstLineChars="200"/>
        <w:rPr>
          <w:rFonts w:ascii="仿宋" w:hAnsi="仿宋" w:eastAsia="仿宋"/>
          <w:sz w:val="32"/>
          <w:szCs w:val="32"/>
        </w:rPr>
      </w:pPr>
      <w:r>
        <w:rPr>
          <w:rFonts w:hint="eastAsia" w:ascii="仿宋" w:hAnsi="仿宋" w:eastAsia="仿宋"/>
          <w:color w:val="000000"/>
          <w:sz w:val="32"/>
          <w:szCs w:val="32"/>
        </w:rPr>
        <w:t>我单位无此项内容。我</w:t>
      </w:r>
      <w:r>
        <w:rPr>
          <w:rFonts w:hint="eastAsia" w:ascii="仿宋" w:hAnsi="仿宋" w:eastAsia="仿宋"/>
          <w:color w:val="000000"/>
          <w:sz w:val="32"/>
          <w:szCs w:val="32"/>
          <w:lang w:val="en-US" w:eastAsia="zh-CN"/>
        </w:rPr>
        <w:t>单位</w:t>
      </w:r>
      <w:r>
        <w:rPr>
          <w:rFonts w:hint="eastAsia" w:ascii="仿宋" w:hAnsi="仿宋" w:eastAsia="仿宋"/>
          <w:color w:val="000000"/>
          <w:sz w:val="32"/>
          <w:szCs w:val="32"/>
        </w:rPr>
        <w:t>是三级单位，不开展部门绩效评价。</w:t>
      </w:r>
    </w:p>
    <w:p>
      <w:pPr>
        <w:spacing w:line="560" w:lineRule="exact"/>
        <w:ind w:firstLine="643" w:firstLineChars="200"/>
        <w:rPr>
          <w:rFonts w:ascii="仿宋" w:hAnsi="仿宋" w:eastAsia="仿宋" w:cs="黑体"/>
          <w:b/>
          <w:bCs/>
          <w:sz w:val="32"/>
          <w:szCs w:val="32"/>
        </w:rPr>
      </w:pPr>
      <w:r>
        <w:rPr>
          <w:rFonts w:hint="eastAsia" w:ascii="仿宋" w:hAnsi="仿宋" w:eastAsia="仿宋" w:cs="黑体"/>
          <w:b/>
          <w:bCs/>
          <w:sz w:val="32"/>
          <w:szCs w:val="32"/>
        </w:rPr>
        <w:t>十三、其他重要事项情况说明。</w:t>
      </w:r>
    </w:p>
    <w:p>
      <w:pPr>
        <w:spacing w:line="560" w:lineRule="exact"/>
        <w:ind w:firstLine="643" w:firstLineChars="200"/>
        <w:rPr>
          <w:rFonts w:ascii="楷体" w:hAnsi="楷体" w:eastAsia="楷体" w:cs="楷体"/>
          <w:b/>
          <w:sz w:val="32"/>
          <w:szCs w:val="32"/>
        </w:rPr>
      </w:pPr>
      <w:bookmarkStart w:id="82" w:name="_Toc15565_WPSOffice_Level2"/>
      <w:bookmarkStart w:id="83" w:name="_Toc18325_WPSOffice_Level2"/>
      <w:bookmarkStart w:id="84" w:name="_Toc32639_WPSOffice_Level2"/>
      <w:bookmarkStart w:id="85" w:name="_Toc15262_WPSOffice_Level2"/>
      <w:bookmarkStart w:id="86" w:name="_Toc5978_WPSOffice_Level2"/>
      <w:bookmarkStart w:id="87" w:name="_Toc23598_WPSOffice_Level2"/>
      <w:r>
        <w:rPr>
          <w:rFonts w:hint="eastAsia" w:ascii="楷体" w:hAnsi="楷体" w:eastAsia="楷体" w:cs="楷体"/>
          <w:b/>
          <w:sz w:val="32"/>
          <w:szCs w:val="32"/>
        </w:rPr>
        <w:t>（一）机关运行经费支出情况。</w:t>
      </w:r>
      <w:bookmarkEnd w:id="82"/>
      <w:bookmarkEnd w:id="83"/>
      <w:bookmarkEnd w:id="84"/>
      <w:bookmarkEnd w:id="85"/>
      <w:bookmarkEnd w:id="86"/>
      <w:bookmarkEnd w:id="87"/>
    </w:p>
    <w:p>
      <w:pPr>
        <w:spacing w:line="560" w:lineRule="exact"/>
        <w:ind w:firstLine="640" w:firstLineChars="200"/>
        <w:rPr>
          <w:rFonts w:ascii="仿宋" w:hAnsi="仿宋" w:eastAsia="仿宋"/>
          <w:sz w:val="32"/>
          <w:szCs w:val="32"/>
        </w:rPr>
      </w:pPr>
      <w:r>
        <w:rPr>
          <w:rFonts w:hint="eastAsia" w:ascii="仿宋" w:hAnsi="仿宋" w:eastAsia="仿宋"/>
          <w:sz w:val="32"/>
          <w:szCs w:val="32"/>
        </w:rPr>
        <w:t>无</w:t>
      </w:r>
    </w:p>
    <w:p>
      <w:pPr>
        <w:spacing w:line="560" w:lineRule="exact"/>
        <w:ind w:firstLine="643" w:firstLineChars="200"/>
        <w:rPr>
          <w:rFonts w:ascii="楷体" w:hAnsi="楷体" w:eastAsia="楷体" w:cs="楷体"/>
          <w:b/>
          <w:sz w:val="32"/>
          <w:szCs w:val="32"/>
        </w:rPr>
      </w:pPr>
      <w:bookmarkStart w:id="88" w:name="_Toc23966_WPSOffice_Level2"/>
      <w:bookmarkStart w:id="89" w:name="_Toc30383_WPSOffice_Level2"/>
      <w:bookmarkStart w:id="90" w:name="_Toc25333_WPSOffice_Level2"/>
      <w:bookmarkStart w:id="91" w:name="_Toc3131_WPSOffice_Level2"/>
      <w:bookmarkStart w:id="92" w:name="_Toc32689_WPSOffice_Level2"/>
      <w:bookmarkStart w:id="93" w:name="_Toc13084_WPSOffice_Level2"/>
      <w:r>
        <w:rPr>
          <w:rFonts w:hint="eastAsia" w:ascii="楷体" w:hAnsi="楷体" w:eastAsia="楷体" w:cs="楷体"/>
          <w:b/>
          <w:sz w:val="32"/>
          <w:szCs w:val="32"/>
        </w:rPr>
        <w:t>（二）政府采购支出情况。</w:t>
      </w:r>
      <w:bookmarkEnd w:id="88"/>
      <w:bookmarkEnd w:id="89"/>
      <w:bookmarkEnd w:id="90"/>
      <w:bookmarkEnd w:id="91"/>
      <w:bookmarkEnd w:id="92"/>
      <w:bookmarkEnd w:id="93"/>
    </w:p>
    <w:p>
      <w:pPr>
        <w:spacing w:line="560" w:lineRule="exact"/>
        <w:ind w:firstLine="640" w:firstLineChars="200"/>
        <w:rPr>
          <w:rFonts w:ascii="仿宋" w:hAnsi="仿宋" w:eastAsia="仿宋"/>
          <w:color w:val="FF0000"/>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1</w:t>
      </w:r>
      <w:r>
        <w:rPr>
          <w:rFonts w:hint="eastAsia" w:ascii="仿宋" w:hAnsi="仿宋" w:eastAsia="仿宋"/>
          <w:color w:val="auto"/>
          <w:sz w:val="32"/>
          <w:szCs w:val="32"/>
        </w:rPr>
        <w:t>年度我单位政府采购支出总额1</w:t>
      </w:r>
      <w:r>
        <w:rPr>
          <w:rFonts w:hint="eastAsia" w:ascii="仿宋" w:hAnsi="仿宋" w:eastAsia="仿宋"/>
          <w:color w:val="auto"/>
          <w:sz w:val="32"/>
          <w:szCs w:val="32"/>
          <w:lang w:val="en-US" w:eastAsia="zh-CN"/>
        </w:rPr>
        <w:t>5.56</w:t>
      </w:r>
      <w:r>
        <w:rPr>
          <w:rFonts w:hint="eastAsia" w:ascii="仿宋" w:hAnsi="仿宋" w:eastAsia="仿宋"/>
          <w:color w:val="auto"/>
          <w:sz w:val="32"/>
          <w:szCs w:val="32"/>
        </w:rPr>
        <w:t>万元，其中：政府采购货物支出1</w:t>
      </w:r>
      <w:r>
        <w:rPr>
          <w:rFonts w:hint="eastAsia" w:ascii="仿宋" w:hAnsi="仿宋" w:eastAsia="仿宋"/>
          <w:color w:val="auto"/>
          <w:sz w:val="32"/>
          <w:szCs w:val="32"/>
          <w:lang w:val="en-US" w:eastAsia="zh-CN"/>
        </w:rPr>
        <w:t>5.56</w:t>
      </w:r>
      <w:r>
        <w:rPr>
          <w:rFonts w:hint="eastAsia" w:ascii="仿宋" w:hAnsi="仿宋" w:eastAsia="仿宋"/>
          <w:color w:val="auto"/>
          <w:sz w:val="32"/>
          <w:szCs w:val="32"/>
        </w:rPr>
        <w:t>万元、政府采购工程支出0万元、政府采购服务支出0万元。授予中小企业合同金额0万元。其中：授予小</w:t>
      </w:r>
      <w:r>
        <w:rPr>
          <w:rStyle w:val="15"/>
          <w:rFonts w:hint="eastAsia" w:ascii="仿宋" w:hAnsi="仿宋" w:eastAsia="仿宋"/>
          <w:color w:val="auto"/>
          <w:sz w:val="32"/>
          <w:szCs w:val="32"/>
        </w:rPr>
        <w:t>微企业</w:t>
      </w:r>
      <w:r>
        <w:rPr>
          <w:rFonts w:hint="eastAsia" w:ascii="仿宋" w:hAnsi="仿宋" w:eastAsia="仿宋"/>
          <w:color w:val="auto"/>
          <w:sz w:val="32"/>
          <w:szCs w:val="32"/>
        </w:rPr>
        <w:t>合同金额0万元，占政府采购支出总额的0%。</w:t>
      </w:r>
    </w:p>
    <w:p>
      <w:pPr>
        <w:spacing w:line="560" w:lineRule="exact"/>
        <w:ind w:firstLine="643" w:firstLineChars="200"/>
        <w:rPr>
          <w:rFonts w:ascii="楷体" w:hAnsi="楷体" w:eastAsia="楷体" w:cs="楷体"/>
          <w:b/>
          <w:sz w:val="32"/>
          <w:szCs w:val="32"/>
        </w:rPr>
      </w:pPr>
      <w:bookmarkStart w:id="94" w:name="_Toc15129_WPSOffice_Level2"/>
      <w:bookmarkStart w:id="95" w:name="_Toc527_WPSOffice_Level2"/>
      <w:bookmarkStart w:id="96" w:name="_Toc19989_WPSOffice_Level2"/>
      <w:bookmarkStart w:id="97" w:name="_Toc29584_WPSOffice_Level2"/>
      <w:bookmarkStart w:id="98" w:name="_Toc6016_WPSOffice_Level2"/>
      <w:bookmarkStart w:id="99" w:name="_Toc10902_WPSOffice_Level2"/>
      <w:r>
        <w:rPr>
          <w:rFonts w:hint="eastAsia" w:ascii="楷体" w:hAnsi="楷体" w:eastAsia="楷体" w:cs="楷体"/>
          <w:b/>
          <w:sz w:val="32"/>
          <w:szCs w:val="32"/>
        </w:rPr>
        <w:t>（三）国有资产占用情况。</w:t>
      </w:r>
      <w:bookmarkEnd w:id="94"/>
      <w:bookmarkEnd w:id="95"/>
      <w:bookmarkEnd w:id="96"/>
      <w:bookmarkEnd w:id="97"/>
      <w:bookmarkEnd w:id="98"/>
      <w:bookmarkEnd w:id="99"/>
    </w:p>
    <w:p>
      <w:pPr>
        <w:spacing w:line="560" w:lineRule="exact"/>
        <w:ind w:firstLine="640" w:firstLineChars="200"/>
        <w:rPr>
          <w:rFonts w:ascii="仿宋" w:hAnsi="仿宋" w:eastAsia="仿宋"/>
          <w:sz w:val="32"/>
          <w:szCs w:val="32"/>
        </w:rPr>
      </w:pPr>
      <w:r>
        <w:rPr>
          <w:rFonts w:hint="eastAsia" w:ascii="仿宋" w:hAnsi="仿宋" w:eastAsia="仿宋"/>
          <w:sz w:val="32"/>
          <w:szCs w:val="32"/>
        </w:rPr>
        <w:t>截至202</w:t>
      </w:r>
      <w:r>
        <w:rPr>
          <w:rFonts w:hint="eastAsia" w:ascii="仿宋" w:hAnsi="仿宋" w:eastAsia="仿宋"/>
          <w:sz w:val="32"/>
          <w:szCs w:val="32"/>
          <w:lang w:val="en-US" w:eastAsia="zh-CN"/>
        </w:rPr>
        <w:t>1</w:t>
      </w:r>
      <w:r>
        <w:rPr>
          <w:rFonts w:hint="eastAsia" w:ascii="仿宋" w:hAnsi="仿宋" w:eastAsia="仿宋"/>
          <w:sz w:val="32"/>
          <w:szCs w:val="32"/>
        </w:rPr>
        <w:t>年12月31日，本部门占用房屋面积473.58平方米，其中：办公用房330.5平方米，业务用房0平方米，其他（不含构筑物）143.08平方米。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共有车辆1辆，其中：从车辆种类说明：轿车1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1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单位价值50万元（含）以上通用设备0台（套），单价100万元（含）以上专用设备0台（套）。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年末在建工程0.00万元。</w:t>
      </w:r>
    </w:p>
    <w:p>
      <w:pPr>
        <w:spacing w:line="560" w:lineRule="exact"/>
        <w:ind w:firstLine="640" w:firstLineChars="200"/>
        <w:rPr>
          <w:rFonts w:ascii="仿宋" w:hAnsi="仿宋" w:eastAsia="仿宋"/>
          <w:sz w:val="32"/>
          <w:szCs w:val="32"/>
        </w:rPr>
      </w:pPr>
    </w:p>
    <w:p>
      <w:pPr>
        <w:spacing w:line="560" w:lineRule="exact"/>
        <w:jc w:val="center"/>
        <w:rPr>
          <w:rFonts w:ascii="黑体" w:hAnsi="黑体" w:eastAsia="黑体"/>
          <w:b/>
          <w:sz w:val="32"/>
          <w:szCs w:val="32"/>
        </w:rPr>
      </w:pPr>
      <w:bookmarkStart w:id="100" w:name="_Toc8808_WPSOffice_Level1"/>
      <w:bookmarkStart w:id="101" w:name="_Toc15425_WPSOffice_Level1"/>
      <w:bookmarkStart w:id="102" w:name="_Toc11039_WPSOffice_Level1"/>
      <w:bookmarkStart w:id="103" w:name="_Toc17580_WPSOffice_Level1"/>
      <w:bookmarkStart w:id="104" w:name="_Toc4398_WPSOffice_Level1"/>
      <w:bookmarkStart w:id="105" w:name="_Toc8874_WPSOffice_Level1"/>
      <w:r>
        <w:rPr>
          <w:rFonts w:hint="eastAsia" w:ascii="黑体" w:hAnsi="黑体" w:eastAsia="黑体"/>
          <w:b/>
          <w:sz w:val="32"/>
          <w:szCs w:val="32"/>
        </w:rPr>
        <w:t>第四部分  名词解释</w:t>
      </w:r>
      <w:bookmarkEnd w:id="100"/>
      <w:bookmarkEnd w:id="101"/>
      <w:bookmarkEnd w:id="102"/>
      <w:bookmarkEnd w:id="103"/>
      <w:bookmarkEnd w:id="104"/>
      <w:bookmarkEnd w:id="105"/>
    </w:p>
    <w:p>
      <w:pPr>
        <w:spacing w:line="560" w:lineRule="exact"/>
        <w:jc w:val="center"/>
        <w:rPr>
          <w:rFonts w:ascii="仿宋" w:hAnsi="仿宋" w:eastAsia="仿宋"/>
          <w:b/>
          <w:sz w:val="32"/>
          <w:szCs w:val="32"/>
        </w:rPr>
      </w:pPr>
    </w:p>
    <w:p>
      <w:pPr>
        <w:ind w:firstLine="640" w:firstLineChars="200"/>
        <w:rPr>
          <w:rFonts w:ascii="仿宋" w:hAnsi="仿宋" w:eastAsia="仿宋"/>
          <w:sz w:val="32"/>
          <w:szCs w:val="32"/>
        </w:rPr>
      </w:pPr>
      <w:r>
        <w:rPr>
          <w:rFonts w:hint="eastAsia" w:ascii="仿宋" w:hAnsi="仿宋" w:eastAsia="仿宋"/>
          <w:sz w:val="32"/>
          <w:szCs w:val="32"/>
        </w:rPr>
        <w:t>一、财政拨款收入：指同级政府财政部门当年拨付的各类财政拨款。</w:t>
      </w:r>
    </w:p>
    <w:p>
      <w:pPr>
        <w:ind w:firstLine="640" w:firstLineChars="200"/>
        <w:rPr>
          <w:rFonts w:ascii="仿宋" w:hAnsi="仿宋" w:eastAsia="仿宋"/>
          <w:sz w:val="32"/>
          <w:szCs w:val="32"/>
        </w:rPr>
      </w:pPr>
      <w:r>
        <w:rPr>
          <w:rFonts w:hint="eastAsia" w:ascii="仿宋" w:hAnsi="仿宋" w:eastAsia="仿宋"/>
          <w:sz w:val="32"/>
          <w:szCs w:val="32"/>
        </w:rPr>
        <w:t>二、上级补助收入：指事业单位从主管部门和上级单位取得的非财政补助收入。</w:t>
      </w:r>
    </w:p>
    <w:p>
      <w:pPr>
        <w:ind w:firstLine="640" w:firstLineChars="200"/>
        <w:rPr>
          <w:rFonts w:ascii="仿宋" w:hAnsi="仿宋" w:eastAsia="仿宋"/>
          <w:sz w:val="32"/>
          <w:szCs w:val="32"/>
        </w:rPr>
      </w:pPr>
      <w:r>
        <w:rPr>
          <w:rFonts w:hint="eastAsia" w:ascii="仿宋" w:hAnsi="仿宋" w:eastAsia="仿宋"/>
          <w:sz w:val="32"/>
          <w:szCs w:val="32"/>
        </w:rPr>
        <w:t>三、事业收入：指事业单位开展专业业务活动及辅助活动取得的收入。</w:t>
      </w:r>
    </w:p>
    <w:p>
      <w:pPr>
        <w:ind w:firstLine="640" w:firstLineChars="200"/>
        <w:rPr>
          <w:rFonts w:ascii="仿宋" w:hAnsi="仿宋" w:eastAsia="仿宋"/>
          <w:sz w:val="32"/>
          <w:szCs w:val="32"/>
        </w:rPr>
      </w:pPr>
      <w:r>
        <w:rPr>
          <w:rFonts w:hint="eastAsia" w:ascii="仿宋" w:hAnsi="仿宋" w:eastAsia="仿宋"/>
          <w:sz w:val="32"/>
          <w:szCs w:val="32"/>
        </w:rPr>
        <w:t>四、经营收入：指事业单位在专业业务活动及其辅助活动之外开展非独立核算经营活动取得的收入。</w:t>
      </w:r>
    </w:p>
    <w:p>
      <w:pPr>
        <w:ind w:firstLine="640" w:firstLineChars="200"/>
        <w:rPr>
          <w:rFonts w:ascii="仿宋" w:hAnsi="仿宋" w:eastAsia="仿宋"/>
          <w:sz w:val="32"/>
          <w:szCs w:val="32"/>
        </w:rPr>
      </w:pPr>
      <w:r>
        <w:rPr>
          <w:rFonts w:hint="eastAsia" w:ascii="仿宋" w:hAnsi="仿宋" w:eastAsia="仿宋"/>
          <w:sz w:val="32"/>
          <w:szCs w:val="32"/>
        </w:rPr>
        <w:t>五、附属单位上缴收入：指事业单位取得附属独立核算单位根据有关规定上缴的收入。</w:t>
      </w:r>
    </w:p>
    <w:p>
      <w:pPr>
        <w:ind w:firstLine="640" w:firstLineChars="200"/>
        <w:rPr>
          <w:rFonts w:ascii="仿宋" w:hAnsi="仿宋" w:eastAsia="仿宋"/>
          <w:sz w:val="32"/>
          <w:szCs w:val="32"/>
        </w:rPr>
      </w:pPr>
      <w:r>
        <w:rPr>
          <w:rFonts w:hint="eastAsia" w:ascii="仿宋" w:hAnsi="仿宋" w:eastAsia="仿宋"/>
          <w:sz w:val="32"/>
          <w:szCs w:val="32"/>
        </w:rPr>
        <w:t>六、其他收入：指除上述“财政拨款收入”“事业收入”“上级补助收入”“经营收入”“附属单位上缴收入”等以外的收入。</w:t>
      </w:r>
    </w:p>
    <w:p>
      <w:pPr>
        <w:ind w:firstLine="640" w:firstLineChars="200"/>
        <w:rPr>
          <w:rFonts w:ascii="仿宋" w:hAnsi="仿宋" w:eastAsia="仿宋"/>
          <w:sz w:val="32"/>
          <w:szCs w:val="32"/>
        </w:rPr>
      </w:pPr>
      <w:r>
        <w:rPr>
          <w:rFonts w:hint="eastAsia" w:ascii="仿宋" w:hAnsi="仿宋" w:eastAsia="仿宋"/>
          <w:sz w:val="32"/>
          <w:szCs w:val="32"/>
        </w:rPr>
        <w:t>七、使用非财政拨款结余：指事业单位在当年的“财政拨款收入”“事业收入”“经营收入”“其他收入”等不足以安排当年支出的情况下，使用以前年度积累的非限定用途的非同级财政拨款结余资金弥补本年度收支缺口。</w:t>
      </w:r>
    </w:p>
    <w:p>
      <w:pPr>
        <w:ind w:firstLine="640" w:firstLineChars="200"/>
        <w:rPr>
          <w:rFonts w:ascii="仿宋" w:hAnsi="仿宋" w:eastAsia="仿宋"/>
          <w:sz w:val="32"/>
          <w:szCs w:val="32"/>
        </w:rPr>
      </w:pPr>
      <w:r>
        <w:rPr>
          <w:rFonts w:hint="eastAsia" w:ascii="仿宋" w:hAnsi="仿宋" w:eastAsia="仿宋"/>
          <w:sz w:val="32"/>
          <w:szCs w:val="32"/>
        </w:rPr>
        <w:t>八、年初结转和结余：指以前年度尚未完成、结转到本年按有关规定继续使用的资金。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九、结余分配：指事业单位按规定提取的专用基金和缴纳的所得税。</w:t>
      </w:r>
    </w:p>
    <w:p>
      <w:pPr>
        <w:ind w:firstLine="640" w:firstLineChars="200"/>
        <w:rPr>
          <w:rFonts w:ascii="仿宋" w:hAnsi="仿宋" w:eastAsia="仿宋"/>
          <w:sz w:val="32"/>
          <w:szCs w:val="32"/>
        </w:rPr>
      </w:pPr>
      <w:r>
        <w:rPr>
          <w:rFonts w:hint="eastAsia" w:ascii="仿宋" w:hAnsi="仿宋" w:eastAsia="仿宋"/>
          <w:sz w:val="32"/>
          <w:szCs w:val="32"/>
        </w:rPr>
        <w:t>十、年末结转和结余：指本年度或以前年度预算安排、因客观条件发生变化无法按原计划实施，需要延迟到以后年度按有关规定继续使用的资金。</w:t>
      </w:r>
    </w:p>
    <w:p>
      <w:pPr>
        <w:ind w:firstLine="640" w:firstLineChars="200"/>
        <w:rPr>
          <w:rFonts w:ascii="仿宋" w:hAnsi="仿宋" w:eastAsia="仿宋"/>
          <w:sz w:val="32"/>
          <w:szCs w:val="32"/>
        </w:rPr>
      </w:pPr>
      <w:r>
        <w:rPr>
          <w:rFonts w:hint="eastAsia" w:ascii="仿宋" w:hAnsi="仿宋" w:eastAsia="仿宋"/>
          <w:sz w:val="32"/>
          <w:szCs w:val="32"/>
        </w:rPr>
        <w:t>十一、基本支出：指为保障机构正常运转、完成日常工作任务而发生的人员支出和公用支出。</w:t>
      </w:r>
    </w:p>
    <w:p>
      <w:pPr>
        <w:ind w:firstLine="640" w:firstLineChars="200"/>
        <w:rPr>
          <w:rFonts w:ascii="仿宋" w:hAnsi="仿宋" w:eastAsia="仿宋"/>
          <w:sz w:val="32"/>
          <w:szCs w:val="32"/>
        </w:rPr>
      </w:pPr>
      <w:r>
        <w:rPr>
          <w:rFonts w:hint="eastAsia" w:ascii="仿宋" w:hAnsi="仿宋" w:eastAsia="仿宋"/>
          <w:sz w:val="32"/>
          <w:szCs w:val="32"/>
        </w:rPr>
        <w:t>十二、项目支出：指在基本支出之外为完成特定行政任务和事业发展目标所发生的支出。</w:t>
      </w:r>
    </w:p>
    <w:p>
      <w:pPr>
        <w:ind w:firstLine="640" w:firstLineChars="200"/>
        <w:rPr>
          <w:rFonts w:ascii="仿宋" w:hAnsi="仿宋" w:eastAsia="仿宋"/>
          <w:sz w:val="32"/>
          <w:szCs w:val="32"/>
        </w:rPr>
      </w:pPr>
      <w:r>
        <w:rPr>
          <w:rFonts w:hint="eastAsia" w:ascii="仿宋" w:hAnsi="仿宋" w:eastAsia="仿宋"/>
          <w:sz w:val="32"/>
          <w:szCs w:val="32"/>
        </w:rPr>
        <w:t>十三、经营支出：指事业单位在专业业务活动及其辅助活动之外开展非独立核算经营活动发生的支出。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十四、“三公”经费：纳入本级财政预决算管理的“三公”经费，是指本级部门用一般公共预算财政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ind w:firstLine="640" w:firstLineChars="200"/>
        <w:rPr>
          <w:rFonts w:ascii="宋体" w:hAnsi="宋体"/>
          <w:sz w:val="32"/>
          <w:szCs w:val="32"/>
        </w:rPr>
      </w:pPr>
      <w:r>
        <w:rPr>
          <w:rFonts w:hint="eastAsia" w:ascii="仿宋" w:hAnsi="仿宋" w:eastAsia="仿宋"/>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5"/>
        <w:rPr>
          <w:rFonts w:ascii="仿宋" w:hAnsi="仿宋" w:eastAsia="仿宋"/>
          <w:sz w:val="32"/>
          <w:szCs w:val="32"/>
        </w:rPr>
      </w:pPr>
      <w:bookmarkStart w:id="106" w:name="_GoBack"/>
      <w:bookmarkEnd w:id="106"/>
    </w:p>
    <w:sectPr>
      <w:pgSz w:w="11907"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09F8D"/>
    <w:multiLevelType w:val="singleLevel"/>
    <w:tmpl w:val="72109F8D"/>
    <w:lvl w:ilvl="0" w:tentative="0">
      <w:start w:val="7"/>
      <w:numFmt w:val="chineseCounting"/>
      <w:suff w:val="nothing"/>
      <w:lvlText w:val="%1、"/>
      <w:lvlJc w:val="left"/>
      <w:pPr>
        <w:ind w:left="0" w:firstLine="0"/>
      </w:p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noPunctuationKerning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AA7E97"/>
    <w:rsid w:val="001955A7"/>
    <w:rsid w:val="00AA7E97"/>
    <w:rsid w:val="014454AF"/>
    <w:rsid w:val="02115D45"/>
    <w:rsid w:val="039C2F9A"/>
    <w:rsid w:val="063F2389"/>
    <w:rsid w:val="064C110E"/>
    <w:rsid w:val="085B1B32"/>
    <w:rsid w:val="0935756A"/>
    <w:rsid w:val="0B3F0616"/>
    <w:rsid w:val="0CCB4B63"/>
    <w:rsid w:val="100B2EF8"/>
    <w:rsid w:val="12B32F38"/>
    <w:rsid w:val="12CE53B4"/>
    <w:rsid w:val="138D219E"/>
    <w:rsid w:val="1CE31257"/>
    <w:rsid w:val="21155C47"/>
    <w:rsid w:val="23C56FDF"/>
    <w:rsid w:val="25705DE8"/>
    <w:rsid w:val="291678B1"/>
    <w:rsid w:val="299D313F"/>
    <w:rsid w:val="2B1C6B34"/>
    <w:rsid w:val="2ED744E9"/>
    <w:rsid w:val="2F7D42E3"/>
    <w:rsid w:val="32D52F55"/>
    <w:rsid w:val="33EB7D4F"/>
    <w:rsid w:val="36730A26"/>
    <w:rsid w:val="37D12B8E"/>
    <w:rsid w:val="37E10721"/>
    <w:rsid w:val="3D18759F"/>
    <w:rsid w:val="3DD82F3F"/>
    <w:rsid w:val="45DB3678"/>
    <w:rsid w:val="47E437E5"/>
    <w:rsid w:val="49EE0901"/>
    <w:rsid w:val="4A5F7D7C"/>
    <w:rsid w:val="4B2031AE"/>
    <w:rsid w:val="4E980AE5"/>
    <w:rsid w:val="4F544163"/>
    <w:rsid w:val="50D43A3A"/>
    <w:rsid w:val="51065ABC"/>
    <w:rsid w:val="53760A1B"/>
    <w:rsid w:val="538C2DD7"/>
    <w:rsid w:val="58E233DA"/>
    <w:rsid w:val="60D06877"/>
    <w:rsid w:val="64D040C9"/>
    <w:rsid w:val="66FE0244"/>
    <w:rsid w:val="6B4950B6"/>
    <w:rsid w:val="6C1E4DDB"/>
    <w:rsid w:val="7234157B"/>
    <w:rsid w:val="72903AEF"/>
    <w:rsid w:val="72F23484"/>
    <w:rsid w:val="774F3BD6"/>
    <w:rsid w:val="7DCA511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pPr>
    <w:rPr>
      <w:sz w:val="18"/>
      <w:szCs w:val="18"/>
    </w:rPr>
  </w:style>
  <w:style w:type="paragraph" w:styleId="3">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nhideWhenUsed/>
    <w:qFormat/>
    <w:uiPriority w:val="0"/>
  </w:style>
  <w:style w:type="character" w:styleId="7">
    <w:name w:val="FollowedHyperlink"/>
    <w:basedOn w:val="5"/>
    <w:semiHidden/>
    <w:unhideWhenUsed/>
    <w:qFormat/>
    <w:uiPriority w:val="99"/>
    <w:rPr>
      <w:color w:val="800080"/>
      <w:u w:val="single"/>
    </w:rPr>
  </w:style>
  <w:style w:type="character" w:styleId="8">
    <w:name w:val="Hyperlink"/>
    <w:basedOn w:val="5"/>
    <w:semiHidden/>
    <w:unhideWhenUsed/>
    <w:qFormat/>
    <w:uiPriority w:val="99"/>
    <w:rPr>
      <w:color w:val="0000FF"/>
      <w:u w:val="single"/>
    </w:rPr>
  </w:style>
  <w:style w:type="paragraph" w:customStyle="1" w:styleId="9">
    <w:name w:val="wpsoffice1"/>
    <w:basedOn w:val="1"/>
    <w:uiPriority w:val="0"/>
    <w:pPr>
      <w:spacing w:before="100" w:beforeAutospacing="1" w:after="100" w:afterAutospacing="1"/>
    </w:pPr>
  </w:style>
  <w:style w:type="paragraph" w:customStyle="1" w:styleId="10">
    <w:name w:val="wpsoffice2"/>
    <w:basedOn w:val="1"/>
    <w:qFormat/>
    <w:uiPriority w:val="0"/>
    <w:pPr>
      <w:spacing w:before="100" w:beforeAutospacing="1" w:after="100" w:afterAutospacing="1"/>
    </w:pPr>
  </w:style>
  <w:style w:type="paragraph" w:customStyle="1" w:styleId="11">
    <w:name w:val="WPSOffice手动目录 1"/>
    <w:qFormat/>
    <w:uiPriority w:val="0"/>
    <w:rPr>
      <w:rFonts w:ascii="Times New Roman" w:hAnsi="Times New Roman" w:eastAsia="宋体" w:cs="Times New Roman"/>
      <w:lang w:val="en-US" w:eastAsia="zh-CN" w:bidi="ar-SA"/>
    </w:rPr>
  </w:style>
  <w:style w:type="paragraph" w:customStyle="1" w:styleId="1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3">
    <w:name w:val="页眉 Char"/>
    <w:basedOn w:val="5"/>
    <w:link w:val="3"/>
    <w:semiHidden/>
    <w:locked/>
    <w:uiPriority w:val="99"/>
    <w:rPr>
      <w:rFonts w:hint="eastAsia" w:ascii="宋体" w:hAnsi="宋体" w:eastAsia="宋体" w:cs="宋体"/>
      <w:sz w:val="18"/>
      <w:szCs w:val="18"/>
    </w:rPr>
  </w:style>
  <w:style w:type="character" w:customStyle="1" w:styleId="14">
    <w:name w:val="页脚 Char"/>
    <w:basedOn w:val="5"/>
    <w:link w:val="2"/>
    <w:semiHidden/>
    <w:qFormat/>
    <w:locked/>
    <w:uiPriority w:val="99"/>
    <w:rPr>
      <w:rFonts w:hint="eastAsia" w:ascii="宋体" w:hAnsi="宋体" w:eastAsia="宋体" w:cs="宋体"/>
      <w:sz w:val="18"/>
      <w:szCs w:val="18"/>
    </w:rPr>
  </w:style>
  <w:style w:type="character" w:customStyle="1" w:styleId="15">
    <w:name w:val="gram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6927</Words>
  <Characters>7543</Characters>
  <Lines>65</Lines>
  <Paragraphs>18</Paragraphs>
  <TotalTime>0</TotalTime>
  <ScaleCrop>false</ScaleCrop>
  <LinksUpToDate>false</LinksUpToDate>
  <CharactersWithSpaces>7632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2021-08-27T10:28:00Z</dcterms:created>
  <dc:creator>省港航管理局</dc:creator>
  <cp:lastModifiedBy>Administrator</cp:lastModifiedBy>
  <dcterms:modified xsi:type="dcterms:W3CDTF">2022-09-07T02:32:06Z</dcterms:modified>
  <dc:title>DWZDM</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E0AB8DFE92414299B94FC3DA4229C625</vt:lpwstr>
  </property>
</Properties>
</file>