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宋体" w:eastAsia="黑体"/>
          <w:sz w:val="32"/>
          <w:szCs w:val="32"/>
        </w:rPr>
      </w:pPr>
    </w:p>
    <w:p>
      <w:pPr>
        <w:rPr>
          <w:rFonts w:ascii="宋体" w:hAnsi="宋体"/>
          <w:sz w:val="30"/>
          <w:szCs w:val="30"/>
        </w:rPr>
      </w:pPr>
    </w:p>
    <w:p>
      <w:pPr>
        <w:jc w:val="center"/>
        <w:rPr>
          <w:rFonts w:ascii="黑体" w:hAnsi="ˎ̥" w:eastAsia="黑体"/>
          <w:sz w:val="44"/>
          <w:szCs w:val="44"/>
        </w:rPr>
      </w:pPr>
      <w:r>
        <w:rPr>
          <w:rFonts w:hint="eastAsia" w:ascii="黑体" w:hAnsi="ˎ̥" w:eastAsia="黑体"/>
          <w:sz w:val="44"/>
          <w:szCs w:val="44"/>
        </w:rPr>
        <w:t>海南省马村航道所</w:t>
      </w:r>
    </w:p>
    <w:p>
      <w:pPr>
        <w:jc w:val="center"/>
        <w:rPr>
          <w:rFonts w:ascii="黑体" w:hAnsi="ˎ̥" w:eastAsia="黑体"/>
          <w:sz w:val="44"/>
          <w:szCs w:val="44"/>
        </w:rPr>
      </w:pPr>
      <w:r>
        <w:rPr>
          <w:rFonts w:hint="eastAsia" w:ascii="黑体" w:hAnsi="ˎ̥" w:eastAsia="黑体"/>
          <w:sz w:val="44"/>
          <w:szCs w:val="44"/>
        </w:rPr>
        <w:t>2021年度单位决算公开说明</w:t>
      </w:r>
    </w:p>
    <w:p>
      <w:pP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jc w:val="center"/>
        <w:rPr>
          <w:rFonts w:ascii="黑体" w:hAnsi="黑体" w:eastAsia="黑体" w:cs="黑体"/>
          <w:sz w:val="44"/>
          <w:szCs w:val="44"/>
        </w:rPr>
      </w:pPr>
    </w:p>
    <w:p>
      <w:pPr>
        <w:pStyle w:val="7"/>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海南省马村航道所单位概况</w:t>
      </w:r>
      <w:r>
        <w:rPr>
          <w:sz w:val="32"/>
          <w:szCs w:val="32"/>
        </w:rPr>
        <w:tab/>
      </w:r>
      <w:r>
        <w:rPr>
          <w:rFonts w:hint="eastAsia"/>
          <w:sz w:val="32"/>
          <w:szCs w:val="32"/>
        </w:rPr>
        <w:t>3</w:t>
      </w:r>
      <w:r>
        <w:rPr>
          <w:rFonts w:hint="eastAsia"/>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第二部分海南省马村航道所部门2021年度单位决算公开表</w:t>
      </w:r>
      <w:r>
        <w:rPr>
          <w:sz w:val="32"/>
          <w:szCs w:val="32"/>
        </w:rPr>
        <w:tab/>
      </w:r>
      <w:r>
        <w:rPr>
          <w:rFonts w:hint="eastAsia"/>
          <w:sz w:val="32"/>
          <w:szCs w:val="32"/>
        </w:rPr>
        <w:t>3</w:t>
      </w:r>
      <w:r>
        <w:rPr>
          <w:rFonts w:hint="eastAsia"/>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3</w:t>
      </w:r>
    </w:p>
    <w:p>
      <w:pPr>
        <w:pStyle w:val="8"/>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ascii="黑体" w:hAnsi="ˎ̥" w:eastAsia="黑体"/>
          <w:sz w:val="32"/>
          <w:szCs w:val="32"/>
        </w:rPr>
        <w:t>海南省马村航道所2021年度单位决算情况说明</w:t>
      </w:r>
      <w:r>
        <w:rPr>
          <w:sz w:val="32"/>
          <w:szCs w:val="32"/>
        </w:rPr>
        <w:tab/>
      </w:r>
      <w:r>
        <w:rPr>
          <w:rFonts w:hint="eastAsia"/>
          <w:sz w:val="32"/>
          <w:szCs w:val="32"/>
        </w:rPr>
        <w:t>4</w:t>
      </w:r>
      <w:r>
        <w:rPr>
          <w:rFonts w:hint="eastAsia"/>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8"/>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8"/>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8"/>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8"/>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8"/>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8"/>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8"/>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8"/>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7"/>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r>
        <w:rPr>
          <w:sz w:val="32"/>
          <w:szCs w:val="32"/>
        </w:rPr>
        <w:t>1</w:t>
      </w:r>
      <w:r>
        <w:rPr>
          <w:sz w:val="32"/>
          <w:szCs w:val="32"/>
        </w:rPr>
        <w:fldChar w:fldCharType="end"/>
      </w:r>
      <w:bookmarkEnd w:id="0"/>
      <w:r>
        <w:rPr>
          <w:rFonts w:hint="eastAsia"/>
          <w:sz w:val="32"/>
          <w:szCs w:val="32"/>
        </w:rPr>
        <w:t>3</w:t>
      </w:r>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sz w:val="32"/>
          <w:szCs w:val="32"/>
        </w:rPr>
      </w:pPr>
      <w:bookmarkStart w:id="1" w:name="_Toc10049_WPSOffice_Level1"/>
      <w:bookmarkStart w:id="2" w:name="_Toc1704_WPSOffice_Level1"/>
      <w:bookmarkStart w:id="3" w:name="_Toc10720_WPSOffice_Level1"/>
      <w:bookmarkStart w:id="4" w:name="_Toc23465_WPSOffice_Level1"/>
      <w:bookmarkStart w:id="5" w:name="_Toc32433_WPSOffice_Level1"/>
      <w:bookmarkStart w:id="6" w:name="_Toc22941_WPSOffice_Level1"/>
      <w:bookmarkStart w:id="7" w:name="_Toc24238_WPSOffice_Level2"/>
      <w:bookmarkStart w:id="8" w:name="_Toc32622_WPSOffice_Level2"/>
      <w:bookmarkStart w:id="9" w:name="_Toc26580_WPSOffice_Level2"/>
      <w:bookmarkStart w:id="10" w:name="_Toc14159_WPSOffice_Level2"/>
      <w:bookmarkStart w:id="11" w:name="_Toc20205_WPSOffice_Level2"/>
      <w:bookmarkStart w:id="12" w:name="_Toc20274_WPSOffice_Level2"/>
      <w:r>
        <w:rPr>
          <w:rFonts w:hint="eastAsia" w:ascii="黑体" w:hAnsi="ˎ̥" w:eastAsia="黑体"/>
          <w:sz w:val="32"/>
          <w:szCs w:val="32"/>
        </w:rPr>
        <w:t>第一部分  海南省马村航道所单位概况</w:t>
      </w:r>
      <w:bookmarkEnd w:id="1"/>
      <w:bookmarkEnd w:id="2"/>
      <w:bookmarkEnd w:id="3"/>
      <w:bookmarkEnd w:id="4"/>
      <w:bookmarkEnd w:id="5"/>
      <w:bookmarkEnd w:id="6"/>
    </w:p>
    <w:p>
      <w:pPr>
        <w:rPr>
          <w:rFonts w:ascii="楷体" w:hAnsi="楷体" w:eastAsia="楷体" w:cs="楷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w:t>
      </w:r>
      <w:bookmarkEnd w:id="7"/>
      <w:r>
        <w:rPr>
          <w:rFonts w:hint="eastAsia" w:ascii="黑体" w:hAnsi="黑体" w:eastAsia="黑体" w:cs="黑体"/>
          <w:sz w:val="32"/>
          <w:szCs w:val="32"/>
        </w:rPr>
        <w:t>单位职责</w:t>
      </w:r>
      <w:bookmarkEnd w:id="8"/>
      <w:bookmarkEnd w:id="9"/>
      <w:bookmarkEnd w:id="10"/>
      <w:bookmarkEnd w:id="11"/>
      <w:bookmarkEnd w:id="12"/>
    </w:p>
    <w:p>
      <w:pPr>
        <w:spacing w:line="550" w:lineRule="exact"/>
        <w:ind w:firstLine="640" w:firstLineChars="200"/>
        <w:rPr>
          <w:rFonts w:ascii="仿宋" w:hAnsi="仿宋" w:eastAsia="仿宋"/>
          <w:sz w:val="32"/>
          <w:szCs w:val="32"/>
        </w:rPr>
      </w:pPr>
      <w:r>
        <w:rPr>
          <w:rFonts w:hint="eastAsia" w:ascii="仿宋" w:hAnsi="仿宋" w:eastAsia="仿宋"/>
          <w:color w:val="000000"/>
          <w:sz w:val="32"/>
          <w:szCs w:val="32"/>
        </w:rPr>
        <w:t>主要职责是：根据法律法规规定和授权，负责管辖航道养护开发及航标维修管理。</w:t>
      </w:r>
      <w:r>
        <w:rPr>
          <w:rFonts w:hint="eastAsia" w:ascii="仿宋" w:hAnsi="仿宋" w:eastAsia="仿宋"/>
          <w:sz w:val="32"/>
          <w:szCs w:val="32"/>
        </w:rPr>
        <w:t>负责管理和养护,航标9座(博丛灯桩、厚咀灯桩、新盈前导灯桩、新盈后导灯桩、金牌灯桩、道潦灯桩、金牌港3座水上浮标)马村港、金牌港沿海航道12.36公里,南渡江屯昌段内河航道72.5公里。</w:t>
      </w:r>
    </w:p>
    <w:p>
      <w:pPr>
        <w:ind w:firstLine="640" w:firstLineChars="200"/>
        <w:rPr>
          <w:rFonts w:ascii="黑体" w:hAnsi="黑体" w:eastAsia="黑体" w:cs="黑体"/>
          <w:sz w:val="32"/>
          <w:szCs w:val="32"/>
        </w:rPr>
      </w:pPr>
      <w:bookmarkStart w:id="13" w:name="_Toc24474_WPSOffice_Level2"/>
      <w:bookmarkStart w:id="14" w:name="_Toc6572_WPSOffice_Level2"/>
      <w:bookmarkStart w:id="15" w:name="_Toc24059_WPSOffice_Level2"/>
      <w:bookmarkStart w:id="16" w:name="_Toc4833_WPSOffice_Level2"/>
      <w:bookmarkStart w:id="17" w:name="_Toc17796_WPSOffice_Level2"/>
      <w:r>
        <w:rPr>
          <w:rFonts w:hint="eastAsia" w:ascii="黑体" w:hAnsi="黑体" w:eastAsia="黑体" w:cs="黑体"/>
          <w:sz w:val="32"/>
          <w:szCs w:val="32"/>
        </w:rPr>
        <w:t>二、机构设置</w:t>
      </w:r>
      <w:bookmarkEnd w:id="13"/>
      <w:bookmarkEnd w:id="14"/>
      <w:bookmarkEnd w:id="15"/>
      <w:bookmarkEnd w:id="16"/>
      <w:bookmarkEnd w:id="17"/>
    </w:p>
    <w:p>
      <w:pPr>
        <w:ind w:firstLine="640" w:firstLineChars="200"/>
        <w:rPr>
          <w:rFonts w:ascii="仿宋" w:hAnsi="仿宋" w:eastAsia="仿宋"/>
          <w:sz w:val="32"/>
          <w:szCs w:val="32"/>
        </w:rPr>
      </w:pPr>
      <w:r>
        <w:rPr>
          <w:rFonts w:hint="eastAsia" w:ascii="仿宋" w:hAnsi="仿宋" w:eastAsia="仿宋"/>
          <w:sz w:val="32"/>
          <w:szCs w:val="32"/>
        </w:rPr>
        <w:t>海南省马村航道所（原金牌航道所）成立于1995年, 编办批复〔1995〕2号文，</w:t>
      </w:r>
      <w:r>
        <w:rPr>
          <w:rFonts w:hint="eastAsia" w:ascii="仿宋" w:hAnsi="仿宋" w:eastAsia="仿宋"/>
          <w:color w:val="000000"/>
          <w:sz w:val="32"/>
          <w:szCs w:val="32"/>
        </w:rPr>
        <w:t>定编文件号为琼编【2002】119号，</w:t>
      </w:r>
      <w:r>
        <w:rPr>
          <w:rFonts w:hint="eastAsia" w:ascii="仿宋" w:hAnsi="仿宋" w:eastAsia="仿宋"/>
          <w:sz w:val="32"/>
          <w:szCs w:val="32"/>
        </w:rPr>
        <w:t>2016年9月份经省编办更名为海南省马村航道所。</w:t>
      </w:r>
      <w:r>
        <w:rPr>
          <w:rFonts w:hint="eastAsia" w:ascii="仿宋" w:hAnsi="仿宋" w:eastAsia="仿宋"/>
          <w:color w:val="000000"/>
          <w:sz w:val="32"/>
          <w:szCs w:val="32"/>
        </w:rPr>
        <w:t>正科级，隶属海南省港航管理局，单位性质为事业单位。</w:t>
      </w:r>
      <w:r>
        <w:rPr>
          <w:rFonts w:hint="eastAsia" w:ascii="宋体" w:hAnsi="Calibri" w:cs="宋体"/>
          <w:color w:val="000000"/>
          <w:kern w:val="0"/>
          <w:sz w:val="30"/>
          <w:szCs w:val="30"/>
          <w:lang w:val="zh-CN"/>
        </w:rPr>
        <w:t>海</w:t>
      </w:r>
      <w:r>
        <w:rPr>
          <w:rFonts w:hint="eastAsia" w:ascii="仿宋" w:hAnsi="仿宋" w:eastAsia="仿宋"/>
          <w:color w:val="000000"/>
          <w:sz w:val="32"/>
          <w:szCs w:val="32"/>
        </w:rPr>
        <w:t>南省机构编制委员会办公室关于省交通运输厅所属事业单位机构编制调整和分类的通知，隶属省港航管理局，为财政预算管理事业编制,</w:t>
      </w:r>
      <w:r>
        <w:rPr>
          <w:rFonts w:hint="eastAsia" w:ascii="仿宋" w:hAnsi="仿宋" w:eastAsia="仿宋"/>
          <w:sz w:val="32"/>
          <w:szCs w:val="32"/>
        </w:rPr>
        <w:t>内设航道航标室、财务室、办公室、所长室。</w:t>
      </w:r>
    </w:p>
    <w:p>
      <w:pPr>
        <w:rPr>
          <w:rFonts w:ascii="黑体" w:hAnsi="黑体" w:eastAsia="黑体" w:cs="黑体"/>
          <w:sz w:val="32"/>
          <w:szCs w:val="32"/>
        </w:rPr>
      </w:pPr>
    </w:p>
    <w:p>
      <w:pPr>
        <w:jc w:val="center"/>
        <w:rPr>
          <w:rFonts w:ascii="黑体" w:hAnsi="ˎ̥" w:eastAsia="黑体"/>
          <w:sz w:val="32"/>
          <w:szCs w:val="32"/>
        </w:rPr>
      </w:pPr>
      <w:bookmarkStart w:id="18" w:name="_Toc8164_WPSOffice_Level1"/>
      <w:bookmarkStart w:id="19" w:name="_Toc30690_WPSOffice_Level1"/>
      <w:bookmarkStart w:id="20" w:name="_Toc15521_WPSOffice_Level1"/>
      <w:bookmarkStart w:id="21" w:name="_Toc30451_WPSOffice_Level1"/>
      <w:bookmarkStart w:id="22" w:name="_Toc28253_WPSOffice_Level1"/>
      <w:bookmarkStart w:id="23" w:name="_Toc6234_WPSOffice_Level1"/>
      <w:bookmarkStart w:id="24" w:name="_Toc6211_WPSOffice_Level2"/>
      <w:bookmarkStart w:id="25" w:name="_Toc8867_WPSOffice_Level2"/>
      <w:bookmarkStart w:id="26" w:name="_Toc32695_WPSOffice_Level2"/>
      <w:bookmarkStart w:id="27" w:name="_Toc32472_WPSOffice_Level2"/>
      <w:bookmarkStart w:id="28" w:name="_Toc4029_WPSOffice_Level2"/>
      <w:bookmarkStart w:id="29" w:name="_Toc11518_WPSOffice_Level2"/>
      <w:r>
        <w:rPr>
          <w:rFonts w:hint="eastAsia" w:ascii="黑体" w:hAnsi="ˎ̥" w:eastAsia="黑体"/>
          <w:sz w:val="32"/>
          <w:szCs w:val="32"/>
        </w:rPr>
        <w:t>第二部分  海南省马村航道所2021年度单位决算公开报表</w:t>
      </w:r>
      <w:bookmarkEnd w:id="18"/>
      <w:bookmarkEnd w:id="19"/>
      <w:bookmarkEnd w:id="20"/>
      <w:bookmarkEnd w:id="21"/>
      <w:bookmarkEnd w:id="22"/>
      <w:bookmarkEnd w:id="23"/>
    </w:p>
    <w:p>
      <w:pPr>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bookmarkEnd w:id="24"/>
      <w:bookmarkEnd w:id="25"/>
      <w:bookmarkEnd w:id="26"/>
      <w:r>
        <w:rPr>
          <w:rFonts w:hint="eastAsia" w:ascii="仿宋" w:hAnsi="仿宋" w:eastAsia="仿宋" w:cs="黑体"/>
          <w:sz w:val="32"/>
          <w:szCs w:val="32"/>
        </w:rPr>
        <w:t>。</w:t>
      </w:r>
      <w:bookmarkEnd w:id="27"/>
      <w:bookmarkEnd w:id="28"/>
      <w:bookmarkEnd w:id="29"/>
    </w:p>
    <w:p>
      <w:pPr>
        <w:ind w:firstLine="645"/>
        <w:rPr>
          <w:rFonts w:ascii="仿宋" w:hAnsi="仿宋" w:eastAsia="仿宋" w:cs="黑体"/>
          <w:sz w:val="32"/>
          <w:szCs w:val="32"/>
        </w:rPr>
      </w:pPr>
      <w:bookmarkStart w:id="30" w:name="_Toc23139_WPSOffice_Level2"/>
      <w:bookmarkStart w:id="31" w:name="_Toc26621_WPSOffice_Level2"/>
      <w:bookmarkStart w:id="32" w:name="_Toc25608_WPSOffice_Level2"/>
      <w:bookmarkStart w:id="33" w:name="_Toc30334_WPSOffice_Level2"/>
      <w:bookmarkStart w:id="34" w:name="_Toc14349_WPSOffice_Level2"/>
      <w:bookmarkStart w:id="35" w:name="_Toc28622_WPSOffice_Level2"/>
      <w:r>
        <w:rPr>
          <w:rFonts w:hint="eastAsia" w:ascii="仿宋" w:hAnsi="仿宋" w:eastAsia="仿宋" w:cs="黑体"/>
          <w:sz w:val="32"/>
          <w:szCs w:val="32"/>
        </w:rPr>
        <w:t>二、收入决算公开表（见正文附件）</w:t>
      </w:r>
      <w:bookmarkEnd w:id="30"/>
      <w:bookmarkEnd w:id="31"/>
      <w:bookmarkEnd w:id="32"/>
      <w:r>
        <w:rPr>
          <w:rFonts w:hint="eastAsia" w:ascii="仿宋" w:hAnsi="仿宋" w:eastAsia="仿宋" w:cs="黑体"/>
          <w:sz w:val="32"/>
          <w:szCs w:val="32"/>
        </w:rPr>
        <w:t>。</w:t>
      </w:r>
      <w:bookmarkEnd w:id="33"/>
      <w:bookmarkEnd w:id="34"/>
      <w:bookmarkEnd w:id="35"/>
    </w:p>
    <w:p>
      <w:pPr>
        <w:ind w:firstLine="645"/>
        <w:rPr>
          <w:rFonts w:ascii="仿宋" w:hAnsi="仿宋" w:eastAsia="仿宋" w:cs="黑体"/>
          <w:sz w:val="32"/>
          <w:szCs w:val="32"/>
        </w:rPr>
      </w:pPr>
      <w:bookmarkStart w:id="36" w:name="_Toc17858_WPSOffice_Level2"/>
      <w:bookmarkStart w:id="37" w:name="_Toc3262_WPSOffice_Level2"/>
      <w:bookmarkStart w:id="38" w:name="_Toc17626_WPSOffice_Level2"/>
      <w:bookmarkStart w:id="39" w:name="_Toc5489_WPSOffice_Level2"/>
      <w:bookmarkStart w:id="40" w:name="_Toc13854_WPSOffice_Level2"/>
      <w:bookmarkStart w:id="41" w:name="_Toc14658_WPSOffice_Level2"/>
      <w:r>
        <w:rPr>
          <w:rFonts w:hint="eastAsia" w:ascii="仿宋" w:hAnsi="仿宋" w:eastAsia="仿宋" w:cs="黑体"/>
          <w:sz w:val="32"/>
          <w:szCs w:val="32"/>
        </w:rPr>
        <w:t>三、支出决算公开表（见正文附件）</w:t>
      </w:r>
      <w:bookmarkEnd w:id="36"/>
      <w:bookmarkEnd w:id="37"/>
      <w:bookmarkEnd w:id="38"/>
      <w:r>
        <w:rPr>
          <w:rFonts w:hint="eastAsia" w:ascii="仿宋" w:hAnsi="仿宋" w:eastAsia="仿宋" w:cs="黑体"/>
          <w:sz w:val="32"/>
          <w:szCs w:val="32"/>
        </w:rPr>
        <w:t>。</w:t>
      </w:r>
      <w:bookmarkEnd w:id="39"/>
      <w:bookmarkEnd w:id="40"/>
      <w:bookmarkEnd w:id="41"/>
    </w:p>
    <w:p>
      <w:pPr>
        <w:ind w:firstLine="645"/>
        <w:rPr>
          <w:rFonts w:ascii="仿宋" w:hAnsi="仿宋" w:eastAsia="仿宋" w:cs="黑体"/>
          <w:sz w:val="32"/>
          <w:szCs w:val="32"/>
        </w:rPr>
      </w:pPr>
      <w:bookmarkStart w:id="42" w:name="_Toc13701_WPSOffice_Level2"/>
      <w:bookmarkStart w:id="43" w:name="_Toc23591_WPSOffice_Level2"/>
      <w:bookmarkStart w:id="44" w:name="_Toc21415_WPSOffice_Level2"/>
      <w:bookmarkStart w:id="45" w:name="_Toc7988_WPSOffice_Level2"/>
      <w:bookmarkStart w:id="46" w:name="_Toc4265_WPSOffice_Level2"/>
      <w:bookmarkStart w:id="47" w:name="_Toc23493_WPSOffice_Level2"/>
      <w:r>
        <w:rPr>
          <w:rFonts w:hint="eastAsia" w:ascii="仿宋" w:hAnsi="仿宋" w:eastAsia="仿宋" w:cs="黑体"/>
          <w:sz w:val="32"/>
          <w:szCs w:val="32"/>
        </w:rPr>
        <w:t>四、财政拨款收入支出决算公开表（见正文附件）</w:t>
      </w:r>
      <w:bookmarkEnd w:id="42"/>
      <w:bookmarkEnd w:id="43"/>
      <w:bookmarkEnd w:id="44"/>
      <w:r>
        <w:rPr>
          <w:rFonts w:hint="eastAsia" w:ascii="仿宋" w:hAnsi="仿宋" w:eastAsia="仿宋" w:cs="黑体"/>
          <w:sz w:val="32"/>
          <w:szCs w:val="32"/>
        </w:rPr>
        <w:t>。</w:t>
      </w:r>
      <w:bookmarkEnd w:id="45"/>
      <w:bookmarkEnd w:id="46"/>
      <w:bookmarkEnd w:id="47"/>
    </w:p>
    <w:p>
      <w:pPr>
        <w:ind w:firstLine="645"/>
        <w:rPr>
          <w:rFonts w:ascii="仿宋" w:hAnsi="仿宋" w:eastAsia="仿宋" w:cs="黑体"/>
          <w:sz w:val="32"/>
          <w:szCs w:val="32"/>
        </w:rPr>
      </w:pPr>
      <w:bookmarkStart w:id="48" w:name="_Toc25166_WPSOffice_Level2"/>
      <w:bookmarkStart w:id="49" w:name="_Toc22783_WPSOffice_Level2"/>
      <w:bookmarkStart w:id="50" w:name="_Toc7879_WPSOffice_Level2"/>
      <w:bookmarkStart w:id="51" w:name="_Toc23829_WPSOffice_Level2"/>
      <w:bookmarkStart w:id="52" w:name="_Toc2158_WPSOffice_Level2"/>
      <w:bookmarkStart w:id="53" w:name="_Toc13516_WPSOffice_Level2"/>
      <w:r>
        <w:rPr>
          <w:rFonts w:hint="eastAsia" w:ascii="仿宋" w:hAnsi="仿宋" w:eastAsia="仿宋" w:cs="黑体"/>
          <w:sz w:val="32"/>
          <w:szCs w:val="32"/>
        </w:rPr>
        <w:t>五、一般公共预算财政拨款收入支出决算</w:t>
      </w:r>
      <w:bookmarkEnd w:id="48"/>
      <w:bookmarkEnd w:id="49"/>
      <w:bookmarkEnd w:id="50"/>
      <w:bookmarkEnd w:id="51"/>
      <w:r>
        <w:rPr>
          <w:rFonts w:hint="eastAsia" w:ascii="仿宋" w:hAnsi="仿宋" w:eastAsia="仿宋" w:cs="黑体"/>
          <w:sz w:val="32"/>
          <w:szCs w:val="32"/>
        </w:rPr>
        <w:t>公开表</w:t>
      </w:r>
    </w:p>
    <w:p>
      <w:pPr>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52"/>
      <w:bookmarkEnd w:id="53"/>
      <w:r>
        <w:rPr>
          <w:rFonts w:hint="eastAsia" w:ascii="仿宋" w:hAnsi="仿宋" w:eastAsia="仿宋" w:cs="黑体"/>
          <w:sz w:val="32"/>
          <w:szCs w:val="32"/>
        </w:rPr>
        <w:t>。</w:t>
      </w:r>
    </w:p>
    <w:p>
      <w:pPr>
        <w:ind w:firstLine="645"/>
        <w:rPr>
          <w:rFonts w:ascii="仿宋" w:hAnsi="仿宋" w:eastAsia="仿宋" w:cs="黑体"/>
          <w:sz w:val="32"/>
          <w:szCs w:val="32"/>
        </w:rPr>
      </w:pPr>
      <w:bookmarkStart w:id="54" w:name="_Toc25362_WPSOffice_Level2"/>
      <w:bookmarkStart w:id="55" w:name="_Toc17283_WPSOffice_Level2"/>
      <w:bookmarkStart w:id="56" w:name="_Toc8373_WPSOffice_Level2"/>
      <w:bookmarkStart w:id="57" w:name="_Toc2632_WPSOffice_Level2"/>
      <w:bookmarkStart w:id="58" w:name="_Toc17833_WPSOffice_Level2"/>
      <w:bookmarkStart w:id="59" w:name="_Toc5343_WPSOffice_Level2"/>
      <w:r>
        <w:rPr>
          <w:rFonts w:hint="eastAsia" w:ascii="仿宋" w:hAnsi="仿宋" w:eastAsia="仿宋" w:cs="黑体"/>
          <w:sz w:val="32"/>
          <w:szCs w:val="32"/>
        </w:rPr>
        <w:t>六、一般公共预算财政拨款基本支出决算</w:t>
      </w:r>
      <w:bookmarkEnd w:id="54"/>
      <w:bookmarkEnd w:id="55"/>
      <w:bookmarkEnd w:id="56"/>
      <w:bookmarkEnd w:id="57"/>
      <w:bookmarkEnd w:id="58"/>
      <w:bookmarkEnd w:id="59"/>
      <w:r>
        <w:rPr>
          <w:rFonts w:hint="eastAsia" w:ascii="仿宋" w:hAnsi="仿宋" w:eastAsia="仿宋" w:cs="黑体"/>
          <w:sz w:val="32"/>
          <w:szCs w:val="32"/>
        </w:rPr>
        <w:t>公开表</w:t>
      </w:r>
    </w:p>
    <w:p>
      <w:pPr>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bookmarkStart w:id="60" w:name="_Toc6020_WPSOffice_Level2"/>
      <w:bookmarkStart w:id="61" w:name="_Toc11799_WPSOffice_Level2"/>
      <w:bookmarkStart w:id="62" w:name="_Toc21310_WPSOffice_Level2"/>
      <w:bookmarkStart w:id="63" w:name="_Toc1533_WPSOffice_Level2"/>
      <w:bookmarkStart w:id="64" w:name="_Toc5594_WPSOffice_Level2"/>
      <w:bookmarkStart w:id="65" w:name="_Toc13345_WPSOffice_Level2"/>
      <w:r>
        <w:rPr>
          <w:rFonts w:hint="eastAsia" w:ascii="仿宋" w:hAnsi="仿宋" w:eastAsia="仿宋" w:cs="黑体"/>
          <w:sz w:val="32"/>
          <w:szCs w:val="32"/>
        </w:rPr>
        <w:t>七、政府性基金预算财政拨款收入支出决算</w:t>
      </w:r>
      <w:bookmarkEnd w:id="60"/>
      <w:bookmarkEnd w:id="61"/>
      <w:bookmarkEnd w:id="62"/>
      <w:bookmarkEnd w:id="63"/>
      <w:bookmarkEnd w:id="64"/>
      <w:bookmarkEnd w:id="65"/>
      <w:r>
        <w:rPr>
          <w:rFonts w:hint="eastAsia" w:ascii="仿宋" w:hAnsi="仿宋" w:eastAsia="仿宋" w:cs="黑体"/>
          <w:sz w:val="32"/>
          <w:szCs w:val="32"/>
        </w:rPr>
        <w:t>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rPr>
          <w:rFonts w:ascii="仿宋" w:hAnsi="仿宋" w:eastAsia="仿宋" w:cs="黑体"/>
          <w:sz w:val="32"/>
          <w:szCs w:val="32"/>
        </w:rPr>
      </w:pPr>
      <w:bookmarkStart w:id="66" w:name="_Toc9377_WPSOffice_Level2"/>
      <w:bookmarkStart w:id="67" w:name="_Toc29886_WPSOffice_Level2"/>
      <w:bookmarkStart w:id="68" w:name="_Toc19961_WPSOffice_Level2"/>
      <w:bookmarkStart w:id="69" w:name="_Toc1820_WPSOffice_Level2"/>
      <w:r>
        <w:rPr>
          <w:rFonts w:hint="eastAsia" w:ascii="仿宋" w:hAnsi="仿宋" w:eastAsia="仿宋" w:cs="黑体"/>
          <w:sz w:val="32"/>
          <w:szCs w:val="32"/>
        </w:rPr>
        <w:t xml:space="preserve">    九、一般公共预算财政拨款“三公”经费支出决算</w:t>
      </w:r>
    </w:p>
    <w:bookmarkEnd w:id="66"/>
    <w:bookmarkEnd w:id="67"/>
    <w:bookmarkEnd w:id="68"/>
    <w:bookmarkEnd w:id="69"/>
    <w:p>
      <w:pPr>
        <w:rPr>
          <w:rFonts w:ascii="仿宋" w:hAnsi="仿宋" w:eastAsia="仿宋" w:cs="黑体"/>
          <w:sz w:val="32"/>
          <w:szCs w:val="32"/>
        </w:rPr>
      </w:pPr>
      <w:r>
        <w:rPr>
          <w:rFonts w:hint="eastAsia" w:ascii="仿宋" w:hAnsi="仿宋" w:eastAsia="仿宋" w:cs="黑体"/>
          <w:sz w:val="32"/>
          <w:szCs w:val="32"/>
        </w:rPr>
        <w:t>公开表（见正文附件）。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十、政府性基金预算财政拨款“三公”经费支出决算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十一、国有资本经营预算财政拨款“三公”经费支出决算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黑体" w:hAnsi="黑体" w:eastAsia="黑体" w:cs="黑体"/>
          <w:sz w:val="32"/>
          <w:szCs w:val="32"/>
        </w:rPr>
      </w:pPr>
    </w:p>
    <w:p>
      <w:pPr>
        <w:jc w:val="center"/>
        <w:rPr>
          <w:rFonts w:ascii="黑体" w:hAnsi="ˎ̥" w:eastAsia="黑体"/>
          <w:sz w:val="32"/>
          <w:szCs w:val="32"/>
        </w:rPr>
      </w:pPr>
      <w:bookmarkStart w:id="70" w:name="_Toc29683_WPSOffice_Level1"/>
      <w:bookmarkStart w:id="71" w:name="_Toc16686_WPSOffice_Level1"/>
      <w:bookmarkStart w:id="72" w:name="_Toc28629_WPSOffice_Level1"/>
      <w:bookmarkStart w:id="73" w:name="_Toc4402_WPSOffice_Level1"/>
      <w:bookmarkStart w:id="74" w:name="_Toc31264_WPSOffice_Level1"/>
      <w:bookmarkStart w:id="75" w:name="_Toc27590_WPSOffice_Level1"/>
      <w:r>
        <w:rPr>
          <w:rFonts w:hint="eastAsia" w:ascii="黑体" w:hAnsi="ˎ̥" w:eastAsia="黑体"/>
          <w:sz w:val="32"/>
          <w:szCs w:val="32"/>
        </w:rPr>
        <w:t>第三部分  海南省马村航道所2021年度单位决算情况说明</w:t>
      </w:r>
      <w:bookmarkEnd w:id="70"/>
      <w:bookmarkEnd w:id="71"/>
      <w:bookmarkEnd w:id="72"/>
      <w:bookmarkEnd w:id="73"/>
      <w:bookmarkEnd w:id="74"/>
      <w:bookmarkEnd w:id="75"/>
    </w:p>
    <w:p>
      <w:pPr>
        <w:jc w:val="center"/>
        <w:rPr>
          <w:rFonts w:ascii="黑体" w:hAnsi="ˎ̥" w:eastAsia="黑体"/>
          <w:sz w:val="32"/>
          <w:szCs w:val="32"/>
        </w:rPr>
      </w:pPr>
    </w:p>
    <w:p>
      <w:pPr>
        <w:spacing w:after="280" w:line="560" w:lineRule="exact"/>
        <w:ind w:firstLine="640" w:firstLineChars="200"/>
        <w:rPr>
          <w:rFonts w:ascii="仿宋" w:hAnsi="仿宋" w:eastAsia="仿宋"/>
          <w:color w:val="000000"/>
          <w:kern w:val="0"/>
          <w:sz w:val="28"/>
          <w:szCs w:val="28"/>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r>
      <w:r>
        <w:rPr>
          <w:rFonts w:hint="eastAsia" w:ascii="黑体" w:hAnsi="黑体" w:eastAsia="黑体" w:cs="黑体"/>
          <w:bCs/>
          <w:sz w:val="32"/>
          <w:szCs w:val="32"/>
        </w:rPr>
        <w:t xml:space="preserve">   </w:t>
      </w:r>
      <w:r>
        <w:rPr>
          <w:rFonts w:hint="eastAsia" w:ascii="仿宋" w:hAnsi="仿宋" w:eastAsia="仿宋"/>
          <w:sz w:val="32"/>
          <w:szCs w:val="32"/>
        </w:rPr>
        <w:t xml:space="preserve"> 2021年度收入总计408.49万元，支出总计408.49万元，与2020年度141.35万元相比，收入、支出各总计增加267.14万元，增加188.99%。主要原因：</w:t>
      </w:r>
      <w:r>
        <w:rPr>
          <w:rFonts w:hint="eastAsia" w:ascii="仿宋" w:hAnsi="仿宋" w:eastAsia="仿宋" w:cs="仿宋"/>
          <w:sz w:val="32"/>
          <w:szCs w:val="32"/>
        </w:rPr>
        <w:t>根据海南省交通运输厅（琼交人教便函[2021]657号），海南省交通运输厅关于报送省港航管理局所属生产经营类事业单位改革人员分流安置结果的函和中共海南省委编制委员会办公室文件（琼编办[2021]26号），中共海南省委编制委员会办公室关于省港航管理局所属经营类事业单位人员安置和编制划转的通知，2021年我所接收工程队和测量队划转人员13名。人员经费和公用经费增加。</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sz w:val="32"/>
          <w:szCs w:val="32"/>
        </w:rPr>
        <w:t>使用非财政拨款结余0万元，与2020年度决算数持平。年初结转结余0万元，与2020年度决算数持平。结余分配0万元，与2020年度决算数持平。年末结转结余0万元，与2020年度决算数持平。</w:t>
      </w:r>
    </w:p>
    <w:p>
      <w:pPr>
        <w:rPr>
          <w:rFonts w:ascii="仿宋" w:hAnsi="仿宋" w:eastAsia="仿宋"/>
          <w:sz w:val="32"/>
          <w:szCs w:val="32"/>
        </w:rPr>
      </w:pPr>
      <w:r>
        <w:rPr>
          <w:rFonts w:hint="eastAsia" w:ascii="黑体" w:hAnsi="黑体" w:eastAsia="黑体" w:cs="黑体"/>
          <w:bCs/>
          <w:sz w:val="32"/>
          <w:szCs w:val="32"/>
        </w:rPr>
        <w:t xml:space="preserve">    二、收入决算情况说明</w:t>
      </w:r>
      <w:r>
        <w:rPr>
          <w:rFonts w:hint="eastAsia" w:ascii="黑体" w:hAnsi="黑体" w:eastAsia="黑体" w:cs="黑体"/>
          <w:bCs/>
          <w:sz w:val="32"/>
          <w:szCs w:val="32"/>
        </w:rPr>
        <w:br/>
      </w:r>
      <w:r>
        <w:rPr>
          <w:rFonts w:hint="eastAsia" w:ascii="仿宋" w:hAnsi="仿宋" w:eastAsia="仿宋"/>
          <w:sz w:val="32"/>
          <w:szCs w:val="32"/>
        </w:rPr>
        <w:t xml:space="preserve">   本年收入合计408.49万元，其中：财政拨款收入408.49万元，占100%；上级补助收入0万元，占0%；事业收入0万元，占0%；经营收入0万元，占0%；附属单位上缴收入0万元，占0%；其他收入0万元，占0%。</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 w:hAnsi="仿宋" w:eastAsia="仿宋"/>
          <w:sz w:val="32"/>
          <w:szCs w:val="32"/>
        </w:rPr>
      </w:pPr>
      <w:r>
        <w:rPr>
          <w:rFonts w:hint="eastAsia" w:ascii="仿宋" w:hAnsi="仿宋" w:eastAsia="仿宋"/>
          <w:sz w:val="32"/>
          <w:szCs w:val="32"/>
        </w:rPr>
        <w:t>本年支出合计408.49万元，其中：基本支出267.81万元，占65.56%；项目支出140.68万元，占34.44%；上缴上级支出0万元，占0%；经营支出0万元，占0%；对附属单位补助支出0万元，占0%。</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spacing w:after="280" w:line="560" w:lineRule="exact"/>
        <w:ind w:firstLine="640" w:firstLineChars="200"/>
        <w:rPr>
          <w:rFonts w:ascii="仿宋" w:hAnsi="仿宋" w:eastAsia="仿宋"/>
          <w:color w:val="000000"/>
          <w:kern w:val="0"/>
          <w:sz w:val="28"/>
          <w:szCs w:val="28"/>
        </w:rPr>
      </w:pPr>
      <w:r>
        <w:rPr>
          <w:rFonts w:hint="eastAsia" w:ascii="仿宋" w:hAnsi="仿宋" w:eastAsia="仿宋"/>
          <w:sz w:val="32"/>
          <w:szCs w:val="32"/>
        </w:rPr>
        <w:t>2021年度财政拨款收入总计408.49万元，支出总计408.49万元。与2020年度141.35万元相比，财政拨款收入、支出总计增加267.14万元，增加188.99%。主要原因是</w:t>
      </w:r>
      <w:r>
        <w:rPr>
          <w:rFonts w:hint="eastAsia" w:ascii="仿宋" w:hAnsi="仿宋" w:eastAsia="仿宋" w:cs="仿宋"/>
          <w:sz w:val="32"/>
          <w:szCs w:val="32"/>
        </w:rPr>
        <w:t>2021年我所接收工程队和测量队划转人员13名。人员经费和公用经费增加。</w:t>
      </w:r>
    </w:p>
    <w:p>
      <w:pPr>
        <w:ind w:firstLine="640" w:firstLineChars="200"/>
        <w:rPr>
          <w:rFonts w:ascii="仿宋" w:hAnsi="仿宋" w:eastAsia="仿宋"/>
          <w:sz w:val="32"/>
          <w:szCs w:val="32"/>
        </w:rPr>
      </w:pPr>
      <w:r>
        <w:rPr>
          <w:rFonts w:hint="eastAsia" w:ascii="仿宋" w:hAnsi="仿宋" w:eastAsia="仿宋"/>
          <w:sz w:val="32"/>
          <w:szCs w:val="32"/>
        </w:rPr>
        <w:t>财政拨款年初结转结余0万元，与2020年度决算数持平。财政拨款年末结转结余0万元，与2020年度决算数持平。</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五、一般公共预算财政拨款支出决算情况说明</w:t>
      </w:r>
    </w:p>
    <w:p>
      <w:pPr>
        <w:spacing w:line="560" w:lineRule="exact"/>
        <w:ind w:firstLine="643" w:firstLineChars="200"/>
        <w:rPr>
          <w:rFonts w:ascii="楷体" w:hAnsi="楷体" w:eastAsia="楷体" w:cs="仿宋"/>
          <w:b/>
          <w:sz w:val="32"/>
          <w:szCs w:val="32"/>
        </w:rPr>
      </w:pPr>
      <w:bookmarkStart w:id="76" w:name="_Toc13694_WPSOffice_Level2"/>
      <w:bookmarkStart w:id="77" w:name="_Toc17398_WPSOffice_Level2"/>
      <w:bookmarkStart w:id="78" w:name="_Toc19665_WPSOffice_Level2"/>
      <w:bookmarkStart w:id="79" w:name="_Toc23005_WPSOffice_Level2"/>
      <w:bookmarkStart w:id="80" w:name="_Toc9989_WPSOffice_Level2"/>
      <w:bookmarkStart w:id="81" w:name="_Toc21737_WPSOffice_Level2"/>
      <w:r>
        <w:rPr>
          <w:rFonts w:hint="eastAsia" w:ascii="楷体" w:hAnsi="楷体" w:eastAsia="楷体" w:cs="仿宋"/>
          <w:b/>
          <w:sz w:val="32"/>
          <w:szCs w:val="32"/>
        </w:rPr>
        <w:t>（一）一般公共预算财政拨款支出决算总体情况</w:t>
      </w:r>
      <w:bookmarkEnd w:id="76"/>
      <w:bookmarkEnd w:id="77"/>
      <w:r>
        <w:rPr>
          <w:rFonts w:hint="eastAsia" w:ascii="楷体" w:hAnsi="楷体" w:eastAsia="楷体" w:cs="仿宋"/>
          <w:b/>
          <w:sz w:val="32"/>
          <w:szCs w:val="32"/>
        </w:rPr>
        <w:t>。</w:t>
      </w:r>
      <w:bookmarkEnd w:id="78"/>
      <w:bookmarkEnd w:id="79"/>
      <w:bookmarkEnd w:id="80"/>
      <w:bookmarkEnd w:id="81"/>
    </w:p>
    <w:p>
      <w:pPr>
        <w:spacing w:after="280" w:line="560" w:lineRule="exact"/>
        <w:ind w:firstLine="640" w:firstLineChars="200"/>
        <w:rPr>
          <w:rFonts w:ascii="仿宋" w:hAnsi="仿宋" w:eastAsia="仿宋"/>
          <w:color w:val="000000"/>
          <w:kern w:val="0"/>
          <w:sz w:val="28"/>
          <w:szCs w:val="28"/>
        </w:rPr>
      </w:pPr>
      <w:r>
        <w:rPr>
          <w:rFonts w:hint="eastAsia" w:ascii="仿宋" w:hAnsi="仿宋" w:eastAsia="仿宋" w:cs="仿宋"/>
          <w:sz w:val="32"/>
          <w:szCs w:val="32"/>
        </w:rPr>
        <w:t>2021年度一般公共预算财政拨款支出408.49万元，占本年支出100%。与2020年度141.35万元相比，财政拨款支出总计增加267.14万元，增加188.99%，主要原因是</w:t>
      </w:r>
      <w:bookmarkStart w:id="82" w:name="_Toc18793_WPSOffice_Level2"/>
      <w:bookmarkStart w:id="83" w:name="_Toc2711_WPSOffice_Level2"/>
      <w:bookmarkStart w:id="84" w:name="_Toc27767_WPSOffice_Level2"/>
      <w:bookmarkStart w:id="85" w:name="_Toc23864_WPSOffice_Level2"/>
      <w:bookmarkStart w:id="86" w:name="_Toc19535_WPSOffice_Level2"/>
      <w:bookmarkStart w:id="87" w:name="_Toc19075_WPSOffice_Level2"/>
      <w:r>
        <w:rPr>
          <w:rFonts w:hint="eastAsia" w:ascii="仿宋" w:hAnsi="仿宋" w:eastAsia="仿宋" w:cs="仿宋"/>
          <w:sz w:val="32"/>
          <w:szCs w:val="32"/>
        </w:rPr>
        <w:t>：2021年我所接收工程队和测量队划转人员13名。人员经费和公用经费增加。</w:t>
      </w:r>
    </w:p>
    <w:p>
      <w:pPr>
        <w:spacing w:line="560" w:lineRule="exact"/>
        <w:ind w:firstLine="643" w:firstLineChars="200"/>
        <w:rPr>
          <w:rFonts w:ascii="楷体" w:hAnsi="楷体" w:eastAsia="楷体" w:cs="仿宋"/>
          <w:b/>
          <w:sz w:val="32"/>
          <w:szCs w:val="32"/>
        </w:rPr>
      </w:pPr>
      <w:r>
        <w:rPr>
          <w:rFonts w:hint="eastAsia" w:ascii="楷体" w:hAnsi="楷体" w:eastAsia="楷体" w:cs="仿宋"/>
          <w:b/>
          <w:sz w:val="32"/>
          <w:szCs w:val="32"/>
        </w:rPr>
        <w:t>（二）财政拨款支出决算结构情况</w:t>
      </w:r>
      <w:bookmarkEnd w:id="82"/>
      <w:bookmarkEnd w:id="83"/>
      <w:r>
        <w:rPr>
          <w:rFonts w:hint="eastAsia" w:ascii="楷体" w:hAnsi="楷体" w:eastAsia="楷体" w:cs="仿宋"/>
          <w:b/>
          <w:sz w:val="32"/>
          <w:szCs w:val="32"/>
        </w:rPr>
        <w:t>。</w:t>
      </w:r>
      <w:bookmarkEnd w:id="84"/>
      <w:bookmarkEnd w:id="85"/>
      <w:bookmarkEnd w:id="86"/>
      <w:bookmarkEnd w:id="87"/>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2021年度一般公共预算财政拨款支出408.49万元，主要用于以下方面：</w:t>
      </w:r>
      <w:r>
        <w:rPr>
          <w:rFonts w:hint="eastAsia" w:ascii="仿宋" w:hAnsi="仿宋" w:eastAsia="仿宋" w:cs="仿宋"/>
          <w:b/>
          <w:sz w:val="32"/>
          <w:szCs w:val="32"/>
        </w:rPr>
        <w:t>交通运输支出（类）</w:t>
      </w:r>
      <w:r>
        <w:rPr>
          <w:rFonts w:hint="eastAsia" w:ascii="仿宋" w:hAnsi="仿宋" w:eastAsia="仿宋" w:cs="仿宋"/>
          <w:sz w:val="32"/>
          <w:szCs w:val="32"/>
        </w:rPr>
        <w:t>支出356.89万元，占87.37%；</w:t>
      </w:r>
      <w:r>
        <w:rPr>
          <w:rFonts w:hint="eastAsia" w:ascii="仿宋" w:hAnsi="仿宋" w:eastAsia="仿宋" w:cs="仿宋"/>
          <w:b/>
          <w:sz w:val="32"/>
          <w:szCs w:val="32"/>
        </w:rPr>
        <w:t>社会保障和就业（类）</w:t>
      </w:r>
      <w:r>
        <w:rPr>
          <w:rFonts w:hint="eastAsia" w:ascii="仿宋" w:hAnsi="仿宋" w:eastAsia="仿宋" w:cs="仿宋"/>
          <w:sz w:val="32"/>
          <w:szCs w:val="32"/>
        </w:rPr>
        <w:t>支出22.61万元，占5.54%；</w:t>
      </w:r>
      <w:r>
        <w:rPr>
          <w:rFonts w:hint="eastAsia" w:ascii="仿宋" w:hAnsi="仿宋" w:eastAsia="仿宋" w:cs="仿宋"/>
          <w:b/>
          <w:sz w:val="32"/>
          <w:szCs w:val="32"/>
        </w:rPr>
        <w:t>卫生健康支出（类）</w:t>
      </w:r>
      <w:r>
        <w:rPr>
          <w:rFonts w:hint="eastAsia" w:ascii="仿宋" w:hAnsi="仿宋" w:eastAsia="仿宋" w:cs="仿宋"/>
          <w:sz w:val="32"/>
          <w:szCs w:val="32"/>
        </w:rPr>
        <w:t>支出11.49万元，占2.81%；</w:t>
      </w:r>
      <w:r>
        <w:rPr>
          <w:rFonts w:hint="eastAsia" w:ascii="仿宋" w:hAnsi="仿宋" w:eastAsia="仿宋" w:cs="仿宋"/>
          <w:b/>
          <w:bCs/>
          <w:sz w:val="32"/>
          <w:szCs w:val="32"/>
        </w:rPr>
        <w:t>住房保障（类）</w:t>
      </w:r>
      <w:r>
        <w:rPr>
          <w:rFonts w:hint="eastAsia" w:ascii="仿宋" w:hAnsi="仿宋" w:eastAsia="仿宋" w:cs="仿宋"/>
          <w:sz w:val="32"/>
          <w:szCs w:val="32"/>
        </w:rPr>
        <w:t>支出17.5万元，占4.28%。</w:t>
      </w:r>
    </w:p>
    <w:p>
      <w:pPr>
        <w:spacing w:line="560" w:lineRule="exact"/>
        <w:ind w:firstLine="643" w:firstLineChars="200"/>
        <w:rPr>
          <w:rFonts w:ascii="楷体" w:hAnsi="楷体" w:eastAsia="楷体" w:cs="仿宋"/>
          <w:b/>
          <w:sz w:val="32"/>
          <w:szCs w:val="32"/>
        </w:rPr>
      </w:pPr>
      <w:bookmarkStart w:id="88" w:name="_Toc25136_WPSOffice_Level2"/>
      <w:bookmarkStart w:id="89" w:name="_Toc29364_WPSOffice_Level2"/>
      <w:bookmarkStart w:id="90" w:name="_Toc15415_WPSOffice_Level2"/>
      <w:bookmarkStart w:id="91" w:name="_Toc9502_WPSOffice_Level2"/>
      <w:bookmarkStart w:id="92" w:name="_Toc21701_WPSOffice_Level2"/>
      <w:bookmarkStart w:id="93" w:name="_Toc22318_WPSOffice_Level2"/>
      <w:r>
        <w:rPr>
          <w:rFonts w:hint="eastAsia" w:ascii="楷体" w:hAnsi="楷体" w:eastAsia="楷体" w:cs="仿宋"/>
          <w:b/>
          <w:sz w:val="32"/>
          <w:szCs w:val="32"/>
        </w:rPr>
        <w:t>（三）财政拨款支出决算具体情况。</w:t>
      </w:r>
      <w:bookmarkEnd w:id="88"/>
      <w:bookmarkEnd w:id="89"/>
      <w:bookmarkEnd w:id="90"/>
      <w:bookmarkEnd w:id="91"/>
      <w:bookmarkEnd w:id="92"/>
      <w:bookmarkEnd w:id="93"/>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2021年度财政拨款支出年初预算为215.42万元，支出决算为408.49万元，完成年初预算的189.62%。其中：</w:t>
      </w:r>
    </w:p>
    <w:p>
      <w:pPr>
        <w:snapToGrid w:val="0"/>
        <w:spacing w:line="480" w:lineRule="exact"/>
        <w:ind w:firstLine="643" w:firstLineChars="200"/>
        <w:rPr>
          <w:rFonts w:ascii="仿宋" w:hAnsi="仿宋" w:eastAsia="仿宋" w:cs="仿宋"/>
          <w:b/>
          <w:sz w:val="32"/>
          <w:szCs w:val="32"/>
        </w:rPr>
      </w:pPr>
      <w:r>
        <w:rPr>
          <w:rFonts w:hint="eastAsia" w:ascii="仿宋" w:hAnsi="仿宋" w:eastAsia="仿宋" w:cs="仿宋"/>
          <w:b/>
          <w:sz w:val="32"/>
          <w:szCs w:val="32"/>
        </w:rPr>
        <w:t>1、交通运输支出（类）公路水路运输（款）航道维护（项）。</w:t>
      </w:r>
    </w:p>
    <w:p>
      <w:pPr>
        <w:snapToGrid w:val="0"/>
        <w:spacing w:line="480" w:lineRule="exact"/>
        <w:ind w:firstLine="640" w:firstLineChars="200"/>
        <w:rPr>
          <w:rFonts w:ascii="仿宋" w:hAnsi="仿宋" w:eastAsia="仿宋"/>
          <w:sz w:val="32"/>
          <w:szCs w:val="32"/>
        </w:rPr>
      </w:pPr>
      <w:r>
        <w:rPr>
          <w:rFonts w:hint="eastAsia" w:ascii="仿宋" w:hAnsi="仿宋" w:eastAsia="仿宋" w:cs="仿宋"/>
          <w:sz w:val="32"/>
          <w:szCs w:val="32"/>
        </w:rPr>
        <w:t>年初预算为142.22万元，支出决算为140.68万元。</w:t>
      </w:r>
      <w:r>
        <w:rPr>
          <w:rFonts w:hint="eastAsia" w:ascii="仿宋" w:hAnsi="仿宋" w:eastAsia="仿宋"/>
          <w:sz w:val="32"/>
          <w:szCs w:val="32"/>
        </w:rPr>
        <w:t>完成年初预算的98.92%。未完成的原因是：2021年我所购买交通执法艇44万元，由于厂家没有及时交货，扣违约金1.54万元。</w:t>
      </w:r>
    </w:p>
    <w:p>
      <w:pPr>
        <w:snapToGrid w:val="0"/>
        <w:spacing w:line="480" w:lineRule="exact"/>
        <w:ind w:firstLine="643" w:firstLineChars="200"/>
        <w:rPr>
          <w:rFonts w:ascii="仿宋" w:hAnsi="仿宋" w:eastAsia="仿宋" w:cs="仿宋"/>
          <w:b/>
          <w:sz w:val="32"/>
          <w:szCs w:val="32"/>
        </w:rPr>
      </w:pPr>
      <w:r>
        <w:rPr>
          <w:rFonts w:hint="eastAsia" w:ascii="仿宋" w:hAnsi="仿宋" w:eastAsia="仿宋" w:cs="仿宋"/>
          <w:b/>
          <w:sz w:val="32"/>
          <w:szCs w:val="32"/>
        </w:rPr>
        <w:t>2、交通运输支出（类）公路水路运输（款）其他公路水路运输支出</w:t>
      </w:r>
    </w:p>
    <w:p>
      <w:pPr>
        <w:spacing w:after="280" w:line="560" w:lineRule="exact"/>
        <w:ind w:firstLine="640" w:firstLineChars="200"/>
        <w:rPr>
          <w:rFonts w:ascii="仿宋" w:hAnsi="仿宋" w:eastAsia="仿宋"/>
          <w:color w:val="000000"/>
          <w:kern w:val="0"/>
          <w:sz w:val="28"/>
          <w:szCs w:val="28"/>
        </w:rPr>
      </w:pPr>
      <w:r>
        <w:rPr>
          <w:rFonts w:hint="eastAsia" w:ascii="仿宋" w:hAnsi="仿宋" w:eastAsia="仿宋" w:cs="仿宋"/>
          <w:sz w:val="32"/>
          <w:szCs w:val="32"/>
        </w:rPr>
        <w:t>年初预算为61.57万元，支出决算为216.21万元。</w:t>
      </w:r>
      <w:r>
        <w:rPr>
          <w:rFonts w:hint="eastAsia" w:ascii="仿宋" w:hAnsi="仿宋" w:eastAsia="仿宋"/>
          <w:sz w:val="32"/>
          <w:szCs w:val="32"/>
        </w:rPr>
        <w:t>完成年初预算的351.16%，</w:t>
      </w:r>
      <w:r>
        <w:rPr>
          <w:rFonts w:hint="eastAsia" w:ascii="仿宋" w:hAnsi="仿宋" w:eastAsia="仿宋" w:cs="仿宋"/>
          <w:sz w:val="32"/>
          <w:szCs w:val="32"/>
        </w:rPr>
        <w:t>主要原因是：2021年我所接收工程队和测量队划转人员13名。人员经费和公用经费增加。</w:t>
      </w:r>
    </w:p>
    <w:p>
      <w:pPr>
        <w:snapToGrid w:val="0"/>
        <w:spacing w:line="520" w:lineRule="exact"/>
        <w:rPr>
          <w:rFonts w:ascii="仿宋" w:hAnsi="仿宋" w:eastAsia="仿宋" w:cs="仿宋"/>
          <w:b/>
          <w:sz w:val="32"/>
          <w:szCs w:val="32"/>
        </w:rPr>
      </w:pPr>
      <w:r>
        <w:rPr>
          <w:rFonts w:hint="eastAsia" w:ascii="仿宋" w:hAnsi="仿宋" w:eastAsia="仿宋" w:cs="仿宋"/>
          <w:b/>
          <w:sz w:val="32"/>
          <w:szCs w:val="32"/>
        </w:rPr>
        <w:t xml:space="preserve">    3、社会保障和就业支出（类）行政事业单位养老支出（款）机关事业单位基本养老保险缴费支出（项）。</w:t>
      </w:r>
    </w:p>
    <w:p>
      <w:pPr>
        <w:spacing w:after="280" w:line="560" w:lineRule="exact"/>
        <w:ind w:firstLine="640" w:firstLineChars="200"/>
        <w:rPr>
          <w:rFonts w:ascii="仿宋" w:hAnsi="仿宋" w:eastAsia="仿宋"/>
          <w:color w:val="000000"/>
          <w:kern w:val="0"/>
          <w:sz w:val="28"/>
          <w:szCs w:val="28"/>
        </w:rPr>
      </w:pPr>
      <w:r>
        <w:rPr>
          <w:rFonts w:hint="eastAsia" w:ascii="仿宋" w:hAnsi="仿宋" w:eastAsia="仿宋" w:cs="仿宋"/>
          <w:sz w:val="32"/>
          <w:szCs w:val="32"/>
        </w:rPr>
        <w:t>年初预算为4.99万元，支出决算为22.61万元，完成年初预算数453.11%，</w:t>
      </w:r>
      <w:r>
        <w:rPr>
          <w:rFonts w:hint="eastAsia" w:ascii="仿宋" w:hAnsi="仿宋" w:eastAsia="仿宋"/>
          <w:color w:val="000000"/>
          <w:sz w:val="32"/>
          <w:szCs w:val="32"/>
        </w:rPr>
        <w:t>主要原因是：</w:t>
      </w:r>
      <w:r>
        <w:rPr>
          <w:rFonts w:hint="eastAsia" w:ascii="仿宋" w:hAnsi="仿宋" w:eastAsia="仿宋" w:cs="仿宋"/>
          <w:sz w:val="32"/>
          <w:szCs w:val="32"/>
        </w:rPr>
        <w:t>2021年我所接收工程队和测量队划转人员13名。人员经费和公用经费增加。</w:t>
      </w:r>
    </w:p>
    <w:p>
      <w:pPr>
        <w:snapToGrid w:val="0"/>
        <w:spacing w:line="520" w:lineRule="exact"/>
        <w:rPr>
          <w:rFonts w:ascii="仿宋" w:hAnsi="仿宋" w:eastAsia="仿宋" w:cs="仿宋"/>
          <w:b/>
          <w:sz w:val="32"/>
          <w:szCs w:val="32"/>
        </w:rPr>
      </w:pPr>
      <w:r>
        <w:rPr>
          <w:rFonts w:hint="eastAsia" w:ascii="仿宋" w:hAnsi="仿宋" w:eastAsia="仿宋" w:cs="仿宋"/>
          <w:b/>
          <w:sz w:val="32"/>
          <w:szCs w:val="32"/>
        </w:rPr>
        <w:t xml:space="preserve">    4、卫生健康支出（类）行政事业单位医疗（款）事业单位医疗（项）。</w:t>
      </w:r>
    </w:p>
    <w:p>
      <w:pPr>
        <w:spacing w:after="280" w:line="560" w:lineRule="exact"/>
        <w:ind w:firstLine="640" w:firstLineChars="200"/>
        <w:rPr>
          <w:rFonts w:ascii="仿宋" w:hAnsi="仿宋" w:eastAsia="仿宋"/>
          <w:color w:val="000000"/>
          <w:kern w:val="0"/>
          <w:sz w:val="28"/>
          <w:szCs w:val="28"/>
        </w:rPr>
      </w:pPr>
      <w:r>
        <w:rPr>
          <w:rFonts w:hint="eastAsia" w:ascii="仿宋" w:hAnsi="仿宋" w:eastAsia="仿宋" w:cs="仿宋"/>
          <w:sz w:val="32"/>
          <w:szCs w:val="32"/>
        </w:rPr>
        <w:t>年初预算为2.65万元，支出决算为11.49万元，</w:t>
      </w:r>
      <w:r>
        <w:rPr>
          <w:rFonts w:hint="eastAsia" w:ascii="仿宋" w:hAnsi="仿宋" w:eastAsia="仿宋"/>
          <w:sz w:val="32"/>
          <w:szCs w:val="32"/>
        </w:rPr>
        <w:t>完成年初预算的433.58%，</w:t>
      </w:r>
      <w:r>
        <w:rPr>
          <w:rFonts w:hint="eastAsia" w:ascii="仿宋" w:hAnsi="仿宋" w:eastAsia="仿宋"/>
          <w:color w:val="000000"/>
          <w:sz w:val="32"/>
          <w:szCs w:val="32"/>
        </w:rPr>
        <w:t>主要原因是：</w:t>
      </w:r>
      <w:r>
        <w:rPr>
          <w:rFonts w:hint="eastAsia" w:ascii="仿宋" w:hAnsi="仿宋" w:eastAsia="仿宋" w:cs="仿宋"/>
          <w:sz w:val="32"/>
          <w:szCs w:val="32"/>
        </w:rPr>
        <w:t>2021年我所接收工程队和测量队划转人员13名。人员经费和公用经费增加。</w:t>
      </w:r>
    </w:p>
    <w:p>
      <w:pPr>
        <w:snapToGrid w:val="0"/>
        <w:spacing w:line="520" w:lineRule="exact"/>
        <w:rPr>
          <w:rFonts w:ascii="仿宋" w:hAnsi="仿宋" w:eastAsia="仿宋" w:cs="仿宋"/>
          <w:b/>
          <w:sz w:val="32"/>
          <w:szCs w:val="32"/>
        </w:rPr>
      </w:pPr>
      <w:r>
        <w:rPr>
          <w:rFonts w:hint="eastAsia" w:ascii="仿宋" w:hAnsi="仿宋" w:eastAsia="仿宋" w:cs="仿宋"/>
          <w:b/>
          <w:sz w:val="32"/>
          <w:szCs w:val="32"/>
        </w:rPr>
        <w:t xml:space="preserve">    5、住房保障支出（类）住房改革支出（款）住房公积金（项）。</w:t>
      </w:r>
    </w:p>
    <w:p>
      <w:pPr>
        <w:spacing w:after="280" w:line="560" w:lineRule="exact"/>
        <w:ind w:firstLine="640" w:firstLineChars="200"/>
        <w:rPr>
          <w:rFonts w:ascii="仿宋" w:hAnsi="仿宋" w:eastAsia="仿宋"/>
          <w:color w:val="000000"/>
          <w:kern w:val="0"/>
          <w:sz w:val="28"/>
          <w:szCs w:val="28"/>
        </w:rPr>
      </w:pPr>
      <w:r>
        <w:rPr>
          <w:rFonts w:hint="eastAsia" w:ascii="仿宋" w:hAnsi="仿宋" w:eastAsia="仿宋" w:cs="仿宋"/>
          <w:sz w:val="32"/>
          <w:szCs w:val="32"/>
        </w:rPr>
        <w:t>年初预算为4万元，支出决算为17.50万元，</w:t>
      </w:r>
      <w:r>
        <w:rPr>
          <w:rFonts w:hint="eastAsia" w:ascii="仿宋" w:hAnsi="仿宋" w:eastAsia="仿宋"/>
          <w:sz w:val="32"/>
          <w:szCs w:val="32"/>
        </w:rPr>
        <w:t>完成年初预算的437.5%，</w:t>
      </w:r>
      <w:r>
        <w:rPr>
          <w:rFonts w:hint="eastAsia" w:ascii="仿宋" w:hAnsi="仿宋" w:eastAsia="仿宋"/>
          <w:color w:val="000000"/>
          <w:sz w:val="32"/>
          <w:szCs w:val="32"/>
        </w:rPr>
        <w:t>主要原因是：</w:t>
      </w:r>
      <w:r>
        <w:rPr>
          <w:rFonts w:hint="eastAsia" w:ascii="仿宋" w:hAnsi="仿宋" w:eastAsia="仿宋" w:cs="仿宋"/>
          <w:sz w:val="32"/>
          <w:szCs w:val="32"/>
        </w:rPr>
        <w:t>2021年我所接收工程队和测量队划转人员13名。人员经费和公用经费增加。</w:t>
      </w:r>
    </w:p>
    <w:p>
      <w:pPr>
        <w:snapToGrid w:val="0"/>
        <w:spacing w:line="520" w:lineRule="exact"/>
        <w:rPr>
          <w:rFonts w:ascii="黑体" w:hAnsi="黑体" w:eastAsia="黑体" w:cs="仿宋"/>
          <w:sz w:val="32"/>
          <w:szCs w:val="32"/>
        </w:rPr>
      </w:pPr>
      <w:r>
        <w:rPr>
          <w:rFonts w:hint="eastAsia" w:ascii="黑体" w:hAnsi="黑体" w:eastAsia="黑体" w:cs="仿宋"/>
          <w:sz w:val="32"/>
          <w:szCs w:val="32"/>
        </w:rPr>
        <w:t xml:space="preserve">    六、一般公共预算财政拨款基本支出决算情况说明。</w:t>
      </w:r>
    </w:p>
    <w:p>
      <w:pPr>
        <w:tabs>
          <w:tab w:val="center" w:pos="4473"/>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度财政拨款基本支出267.81万元，其中：人员经费250.23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17.58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2021年度政府性基金预算财政拨款支出0万元，占本年支出合计的0%。与2020年度政府性基金预算财政拨款支出数持平。本年没有发生与该表相关的收支决算数据。</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2021年度政府性基金预算财政拨款支出0万元。本年没有发生与该表相关的收支决算数据。</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 w:hAnsi="仿宋" w:eastAsia="仿宋"/>
          <w:sz w:val="32"/>
          <w:szCs w:val="32"/>
        </w:rPr>
        <w:t>2021年度政府性基金预算财政拨款支出年初预算为0万元，支出决算为0万元</w:t>
      </w:r>
      <w:r>
        <w:rPr>
          <w:rFonts w:hint="eastAsia" w:ascii="仿宋_GB2312" w:hAnsi="ˎ̥" w:eastAsia="仿宋_GB2312"/>
          <w:sz w:val="32"/>
          <w:szCs w:val="32"/>
        </w:rPr>
        <w:t>。</w:t>
      </w:r>
      <w:r>
        <w:rPr>
          <w:rFonts w:hint="eastAsia" w:ascii="仿宋" w:hAnsi="仿宋" w:eastAsia="仿宋"/>
          <w:sz w:val="32"/>
          <w:szCs w:val="32"/>
        </w:rPr>
        <w:t>本年没有发生与该表相关的收支决算数据。</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2021年度国有资本经营预算财政拨款支出0万元占本年支出合计的0%。与2020年度国有资本经营预算财政拨款支出数持平。本年没有发生与该表相关的收支决算数据。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2021年度国有资本经营预算财政拨款支出0万元。本年没有发生与该表相关的收支决算数据。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 w:hAnsi="仿宋" w:eastAsia="仿宋"/>
          <w:sz w:val="32"/>
          <w:szCs w:val="32"/>
        </w:rPr>
      </w:pPr>
      <w:r>
        <w:rPr>
          <w:rFonts w:hint="eastAsia" w:ascii="仿宋" w:hAnsi="仿宋" w:eastAsia="仿宋"/>
          <w:sz w:val="32"/>
          <w:szCs w:val="32"/>
        </w:rPr>
        <w:t>2021年度国有资本经营预算财政拨款支出年初预算为0万元，支出决算为0万元。本年没有发生与该表相关的收支决算数据。</w:t>
      </w:r>
    </w:p>
    <w:p>
      <w:pPr>
        <w:ind w:firstLine="627" w:firstLineChars="196"/>
        <w:rPr>
          <w:rFonts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 w:hAnsi="仿宋" w:eastAsia="仿宋"/>
          <w:sz w:val="32"/>
          <w:szCs w:val="32"/>
        </w:rPr>
      </w:pPr>
      <w:r>
        <w:rPr>
          <w:rFonts w:hint="eastAsia" w:ascii="仿宋" w:hAnsi="仿宋" w:eastAsia="仿宋"/>
          <w:sz w:val="32"/>
          <w:szCs w:val="32"/>
        </w:rPr>
        <w:t xml:space="preserve">    2021年度一般公共预算财政拨款“三公”经费支出预算数为2.55万元，支出决算为2.55万元，完成预算的100%。</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（二）一般公共预算财政拨款“三公”经费支出决算具体情况说明。</w:t>
      </w:r>
    </w:p>
    <w:p>
      <w:pPr>
        <w:ind w:firstLine="640" w:firstLineChars="200"/>
        <w:rPr>
          <w:rFonts w:ascii="仿宋" w:hAnsi="仿宋" w:eastAsia="仿宋"/>
          <w:sz w:val="32"/>
          <w:szCs w:val="32"/>
        </w:rPr>
      </w:pPr>
      <w:r>
        <w:rPr>
          <w:rFonts w:hint="eastAsia" w:ascii="仿宋" w:hAnsi="仿宋" w:eastAsia="仿宋"/>
          <w:sz w:val="32"/>
          <w:szCs w:val="32"/>
        </w:rPr>
        <w:t>2021年度一般公共预算财政拨款“三公”经费支出决算中，因公出国（境）费支出决算0万元，占0%；公务用车购置及运行费支出决算2.55万元，占100%；公务接待费支出决算0万元，占0%。具体情况如下：</w:t>
      </w:r>
    </w:p>
    <w:p>
      <w:pPr>
        <w:ind w:firstLine="472" w:firstLineChars="147"/>
        <w:rPr>
          <w:rFonts w:ascii="仿宋" w:hAnsi="仿宋" w:eastAsia="仿宋"/>
          <w:sz w:val="32"/>
          <w:szCs w:val="32"/>
        </w:rPr>
      </w:pPr>
      <w:r>
        <w:rPr>
          <w:rFonts w:hint="eastAsia" w:ascii="仿宋" w:hAnsi="仿宋" w:eastAsia="仿宋"/>
          <w:b/>
          <w:sz w:val="32"/>
          <w:szCs w:val="32"/>
        </w:rPr>
        <w:t>1.因公出国（境）费</w:t>
      </w:r>
      <w:r>
        <w:rPr>
          <w:rFonts w:hint="eastAsia" w:ascii="仿宋" w:hAnsi="仿宋" w:eastAsia="仿宋"/>
          <w:sz w:val="32"/>
          <w:szCs w:val="32"/>
        </w:rPr>
        <w:t>支出0万元。全年安排因公出国（境）团组0个，因公出国（境）0人次。</w:t>
      </w:r>
    </w:p>
    <w:p>
      <w:pPr>
        <w:pStyle w:val="11"/>
        <w:ind w:firstLine="640" w:firstLineChars="200"/>
        <w:rPr>
          <w:rFonts w:ascii="仿宋" w:hAnsi="仿宋" w:eastAsia="仿宋"/>
          <w:sz w:val="32"/>
          <w:szCs w:val="32"/>
        </w:rPr>
      </w:pPr>
      <w:r>
        <w:rPr>
          <w:rFonts w:hint="eastAsia" w:ascii="仿宋" w:hAnsi="仿宋" w:eastAsia="仿宋"/>
          <w:sz w:val="32"/>
          <w:szCs w:val="32"/>
        </w:rPr>
        <w:t>应公出国（境）费支出决算数与预算数持平。</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b/>
          <w:sz w:val="32"/>
          <w:szCs w:val="32"/>
        </w:rPr>
        <w:t>公务用车购置及运行费支出</w:t>
      </w:r>
      <w:r>
        <w:rPr>
          <w:rFonts w:hint="eastAsia" w:ascii="仿宋" w:hAnsi="仿宋" w:eastAsia="仿宋"/>
          <w:sz w:val="32"/>
          <w:szCs w:val="32"/>
        </w:rPr>
        <w:t>2.55万元。其中：</w:t>
      </w:r>
    </w:p>
    <w:p>
      <w:pPr>
        <w:ind w:firstLine="643" w:firstLineChars="200"/>
        <w:rPr>
          <w:rFonts w:ascii="仿宋" w:hAnsi="仿宋" w:eastAsia="仿宋"/>
          <w:sz w:val="32"/>
          <w:szCs w:val="32"/>
        </w:rPr>
      </w:pPr>
      <w:r>
        <w:rPr>
          <w:rFonts w:hint="eastAsia" w:ascii="仿宋" w:hAnsi="仿宋" w:eastAsia="仿宋"/>
          <w:b/>
          <w:sz w:val="32"/>
          <w:szCs w:val="32"/>
        </w:rPr>
        <w:t>公务用车购置支出</w:t>
      </w:r>
      <w:r>
        <w:rPr>
          <w:rFonts w:hint="eastAsia" w:ascii="仿宋" w:hAnsi="仿宋" w:eastAsia="仿宋"/>
          <w:sz w:val="32"/>
          <w:szCs w:val="32"/>
        </w:rPr>
        <w:t>0万元，全年购置公务用车0辆，年末公务用车保有量1辆。</w:t>
      </w:r>
    </w:p>
    <w:p>
      <w:pPr>
        <w:ind w:firstLine="630"/>
        <w:rPr>
          <w:rFonts w:ascii="仿宋" w:hAnsi="仿宋" w:eastAsia="仿宋"/>
          <w:sz w:val="32"/>
          <w:szCs w:val="32"/>
        </w:rPr>
      </w:pPr>
      <w:r>
        <w:rPr>
          <w:rFonts w:hint="eastAsia" w:ascii="仿宋" w:hAnsi="仿宋" w:eastAsia="仿宋"/>
          <w:b/>
          <w:sz w:val="32"/>
          <w:szCs w:val="32"/>
        </w:rPr>
        <w:t>公务用车运行维护费</w:t>
      </w:r>
      <w:r>
        <w:rPr>
          <w:rFonts w:hint="eastAsia" w:ascii="仿宋" w:hAnsi="仿宋" w:eastAsia="仿宋"/>
          <w:sz w:val="32"/>
          <w:szCs w:val="32"/>
        </w:rPr>
        <w:t>支出２.55万元，主要用于公务车油卡充值及公务车保养维修。</w:t>
      </w:r>
    </w:p>
    <w:p>
      <w:pPr>
        <w:ind w:firstLine="630"/>
        <w:rPr>
          <w:rFonts w:ascii="仿宋" w:hAnsi="仿宋" w:eastAsia="仿宋"/>
          <w:sz w:val="32"/>
          <w:szCs w:val="32"/>
        </w:rPr>
      </w:pPr>
      <w:r>
        <w:rPr>
          <w:rFonts w:hint="eastAsia" w:ascii="仿宋" w:hAnsi="仿宋" w:eastAsia="仿宋"/>
          <w:sz w:val="32"/>
          <w:szCs w:val="32"/>
        </w:rPr>
        <w:t>3.公务接待费支出0万元。其中：</w:t>
      </w:r>
    </w:p>
    <w:p>
      <w:pPr>
        <w:ind w:firstLine="630"/>
        <w:rPr>
          <w:rFonts w:ascii="仿宋" w:hAnsi="仿宋" w:eastAsia="仿宋"/>
          <w:sz w:val="32"/>
          <w:szCs w:val="32"/>
        </w:rPr>
      </w:pPr>
      <w:r>
        <w:rPr>
          <w:rFonts w:hint="eastAsia" w:ascii="仿宋" w:hAnsi="仿宋" w:eastAsia="仿宋"/>
          <w:b/>
          <w:bCs/>
          <w:sz w:val="32"/>
          <w:szCs w:val="32"/>
        </w:rPr>
        <w:t>国内接待费支出0万元</w:t>
      </w:r>
      <w:r>
        <w:rPr>
          <w:rFonts w:hint="eastAsia" w:ascii="仿宋" w:hAnsi="仿宋" w:eastAsia="仿宋"/>
          <w:sz w:val="32"/>
          <w:szCs w:val="32"/>
        </w:rPr>
        <w:t>，国内公务接待0批次，接待0人次。</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bCs/>
          <w:sz w:val="32"/>
          <w:szCs w:val="32"/>
        </w:rPr>
        <w:t>国（境）外接待费支出0万元</w:t>
      </w:r>
      <w:r>
        <w:rPr>
          <w:rFonts w:hint="eastAsia" w:ascii="仿宋" w:hAnsi="仿宋" w:eastAsia="仿宋"/>
          <w:sz w:val="32"/>
          <w:szCs w:val="32"/>
        </w:rPr>
        <w:t>，国（境）外公务接待0批次，接待0人次。</w:t>
      </w:r>
    </w:p>
    <w:p>
      <w:pPr>
        <w:ind w:firstLine="640" w:firstLineChars="200"/>
        <w:rPr>
          <w:rFonts w:ascii="仿宋" w:hAnsi="仿宋" w:eastAsia="仿宋"/>
          <w:sz w:val="32"/>
          <w:szCs w:val="32"/>
        </w:rPr>
      </w:pPr>
      <w:r>
        <w:rPr>
          <w:rFonts w:hint="eastAsia" w:ascii="仿宋" w:hAnsi="仿宋" w:eastAsia="仿宋"/>
          <w:sz w:val="32"/>
          <w:szCs w:val="32"/>
        </w:rPr>
        <w:t>公务接待支出数决算数与预算数持平。</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2021年度政府性基金预算财政拨款“三公”经费支出合计0.00万元。其中：因公出国（境）费支出决算0.00万元，占0%；公务用车购置及运行费支出决算0.00万元，占0%；公务接待费支出决算0.00万元，占0%。本年没有发生与该表相关的收支决算数据。</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2021年度国有资本经营预算财政拨款“三公”经费支出合计0.00万元。其中：因公出国（境）费支出决算0.00万元，占0%；公务用车购置及运行费支出决算0.00万元，占0%；公务接待费支出决算0.00万元，占0%。本年没有发生与该表相关的收支决算数据。</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根据财政预算管理要求，我单位组织对2021年度一般公共预算项目支出全面开展绩效自评。我单位无1000万元以上的重点项目，</w:t>
      </w:r>
      <w:r>
        <w:rPr>
          <w:rFonts w:hint="eastAsia" w:ascii="仿宋" w:hAnsi="仿宋" w:eastAsia="仿宋"/>
          <w:sz w:val="32"/>
          <w:szCs w:val="32"/>
          <w:lang w:val="en-US" w:eastAsia="zh-CN"/>
        </w:rPr>
        <w:t>本次</w:t>
      </w:r>
      <w:r>
        <w:rPr>
          <w:rFonts w:hint="eastAsia" w:ascii="仿宋" w:hAnsi="仿宋" w:eastAsia="仿宋"/>
          <w:sz w:val="32"/>
          <w:szCs w:val="32"/>
        </w:rPr>
        <w:t>自评项目1个，</w:t>
      </w:r>
      <w:r>
        <w:rPr>
          <w:rFonts w:hint="eastAsia" w:ascii="仿宋" w:hAnsi="仿宋" w:eastAsia="仿宋" w:cs="宋体"/>
          <w:sz w:val="32"/>
          <w:szCs w:val="32"/>
        </w:rPr>
        <w:t>设施维护与改造</w:t>
      </w:r>
      <w:r>
        <w:rPr>
          <w:rFonts w:hint="eastAsia" w:ascii="仿宋" w:hAnsi="仿宋" w:eastAsia="仿宋"/>
          <w:sz w:val="32"/>
          <w:szCs w:val="32"/>
        </w:rPr>
        <w:t>项目，涉及资金140.68万元，自评覆盖率达到100%。</w:t>
      </w:r>
    </w:p>
    <w:p>
      <w:pPr>
        <w:spacing w:line="578" w:lineRule="exact"/>
        <w:ind w:firstLine="640" w:firstLineChars="200"/>
        <w:rPr>
          <w:rFonts w:ascii="仿宋" w:hAnsi="仿宋" w:eastAsia="仿宋" w:cs="宋体"/>
          <w:sz w:val="32"/>
          <w:szCs w:val="32"/>
        </w:rPr>
      </w:pPr>
      <w:r>
        <w:rPr>
          <w:rFonts w:hint="eastAsia" w:ascii="仿宋" w:hAnsi="仿宋" w:eastAsia="仿宋"/>
          <w:sz w:val="32"/>
          <w:szCs w:val="32"/>
        </w:rPr>
        <w:t>从评价情况来看，我所完成了对项目概况，项目绩效总目标、绩效指标情况，项目基本性质、用途和主要内容涉及的范围，</w:t>
      </w:r>
      <w:r>
        <w:rPr>
          <w:rFonts w:hint="eastAsia" w:ascii="仿宋" w:hAnsi="仿宋" w:eastAsia="仿宋" w:cs="宋体"/>
          <w:sz w:val="32"/>
          <w:szCs w:val="32"/>
        </w:rPr>
        <w:t>项目资金使用及管理情况以及项目组织实施情况等都的自评工作。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根据财政预算绩效管理要求，我单位也组织对2021年度一般公共预算整体支出全面开展绩效自评，涉及资金408.49万元。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从评价情况来看，按照“三定”方案确定的工作职责，较好地完成了单位工作职责，整体支出实现了预期效果。2021年的整体支出进度达到189.62%，超出部分为两队改革分流人员划转后追加的人员经费。体现了预算编制的科学性和合理性，保障了我所正常工作的顺利开展，确保了航道的正常畅通，航标的正常发光。</w:t>
      </w:r>
    </w:p>
    <w:p>
      <w:pPr>
        <w:spacing w:line="578" w:lineRule="exact"/>
        <w:ind w:firstLine="643" w:firstLineChars="200"/>
        <w:rPr>
          <w:rFonts w:ascii="仿宋" w:hAnsi="仿宋" w:eastAsia="仿宋" w:cs="楷体"/>
          <w:b/>
          <w:sz w:val="32"/>
          <w:szCs w:val="32"/>
        </w:rPr>
      </w:pPr>
      <w:r>
        <w:rPr>
          <w:rFonts w:hint="eastAsia" w:ascii="仿宋" w:hAnsi="仿宋" w:eastAsia="仿宋" w:cs="楷体"/>
          <w:b/>
          <w:sz w:val="32"/>
          <w:szCs w:val="32"/>
        </w:rPr>
        <w:t>（二）部门决算中项目绩效自评结果。</w:t>
      </w:r>
    </w:p>
    <w:p>
      <w:pPr>
        <w:ind w:firstLine="640" w:firstLineChars="200"/>
        <w:rPr>
          <w:rFonts w:ascii="仿宋" w:hAnsi="仿宋" w:eastAsia="仿宋"/>
          <w:sz w:val="32"/>
          <w:szCs w:val="32"/>
        </w:rPr>
      </w:pPr>
      <w:r>
        <w:rPr>
          <w:rFonts w:hint="eastAsia" w:ascii="仿宋" w:hAnsi="仿宋" w:eastAsia="仿宋"/>
          <w:sz w:val="32"/>
          <w:szCs w:val="32"/>
        </w:rPr>
        <w:t>我单位今年在省本级部门决算中反映</w:t>
      </w:r>
      <w:r>
        <w:rPr>
          <w:rFonts w:hint="eastAsia" w:ascii="仿宋" w:hAnsi="仿宋" w:eastAsia="仿宋" w:cs="宋体"/>
          <w:sz w:val="32"/>
          <w:szCs w:val="32"/>
        </w:rPr>
        <w:t>设施维护与改造</w:t>
      </w:r>
      <w:r>
        <w:rPr>
          <w:rFonts w:hint="eastAsia" w:ascii="仿宋" w:hAnsi="仿宋" w:eastAsia="仿宋"/>
          <w:sz w:val="32"/>
          <w:szCs w:val="32"/>
        </w:rPr>
        <w:t>项目绩效自评结果。</w:t>
      </w:r>
    </w:p>
    <w:p>
      <w:pPr>
        <w:pStyle w:val="2"/>
        <w:spacing w:line="360" w:lineRule="auto"/>
        <w:ind w:firstLine="640" w:firstLineChars="200"/>
        <w:rPr>
          <w:rFonts w:ascii="仿宋" w:hAnsi="仿宋" w:eastAsia="仿宋"/>
          <w:sz w:val="32"/>
          <w:szCs w:val="32"/>
        </w:rPr>
      </w:pPr>
      <w:r>
        <w:rPr>
          <w:rFonts w:hint="eastAsia" w:ascii="仿宋" w:hAnsi="仿宋" w:eastAsia="仿宋" w:cs="宋体"/>
          <w:sz w:val="32"/>
          <w:szCs w:val="32"/>
        </w:rPr>
        <w:t>设施维护与改造</w:t>
      </w:r>
      <w:r>
        <w:rPr>
          <w:rFonts w:hint="eastAsia" w:ascii="仿宋" w:hAnsi="仿宋" w:eastAsia="仿宋"/>
          <w:sz w:val="32"/>
          <w:szCs w:val="32"/>
        </w:rPr>
        <w:t>项目绩效自评综述：根据年初设定的绩效目标，项目自评得分为97分。全年预算数为142.22万元，执行数为140.68万元，完成预算的98.92%。项目绩效目标完成情况：1、</w:t>
      </w:r>
      <w:r>
        <w:rPr>
          <w:rFonts w:hint="eastAsia" w:ascii="仿宋" w:hAnsi="仿宋" w:eastAsia="仿宋" w:cs="宋体"/>
          <w:color w:val="000000"/>
          <w:kern w:val="0"/>
          <w:sz w:val="32"/>
          <w:szCs w:val="32"/>
        </w:rPr>
        <w:t>航道保护里程84.84公里（沿海12.34公里、内河72.5公里），2、在建项目监管理程20公里，所管辖航道安全畅通，3、航道保护巡查出勤率达98%（Ⅳ级以上航道2次/月，Ⅴ级以外航道1次/月. 航道通航保证率达98%以上.4、</w:t>
      </w:r>
      <w:r>
        <w:rPr>
          <w:rFonts w:hint="eastAsia" w:ascii="仿宋" w:hAnsi="仿宋" w:eastAsia="仿宋"/>
          <w:sz w:val="32"/>
          <w:szCs w:val="32"/>
        </w:rPr>
        <w:t>正常维护9座航标，确保9座航标的位置正确、结构良好、稳定可靠、颜色鲜明、灯光明亮、灯质和视距符合要求，符合航标管理办法和内河航道维护技术规范，</w:t>
      </w:r>
      <w:r>
        <w:rPr>
          <w:rFonts w:hint="eastAsia" w:ascii="仿宋" w:hAnsi="仿宋" w:eastAsia="仿宋" w:cs="宋体"/>
          <w:color w:val="000000"/>
          <w:kern w:val="0"/>
          <w:sz w:val="32"/>
          <w:szCs w:val="32"/>
        </w:rPr>
        <w:t>符合达标率达98%；5、</w:t>
      </w:r>
      <w:r>
        <w:rPr>
          <w:rFonts w:hint="eastAsia" w:ascii="仿宋" w:hAnsi="仿宋" w:eastAsia="仿宋"/>
          <w:sz w:val="32"/>
          <w:szCs w:val="32"/>
        </w:rPr>
        <w:t>航标维护正常发光率达99%。确保了我所辖区内航道畅通和船舶进出港口安全。</w:t>
      </w:r>
    </w:p>
    <w:p>
      <w:pPr>
        <w:pStyle w:val="2"/>
        <w:spacing w:line="360" w:lineRule="auto"/>
        <w:ind w:firstLine="640" w:firstLineChars="200"/>
        <w:rPr>
          <w:rFonts w:ascii="仿宋" w:hAnsi="仿宋" w:eastAsia="仿宋"/>
          <w:sz w:val="32"/>
          <w:szCs w:val="32"/>
        </w:rPr>
      </w:pPr>
      <w:r>
        <w:rPr>
          <w:rFonts w:hint="eastAsia" w:ascii="仿宋" w:hAnsi="仿宋" w:eastAsia="仿宋"/>
          <w:sz w:val="32"/>
          <w:szCs w:val="32"/>
        </w:rPr>
        <w:t>发现的主要问题及原因：(1)管理人员、财务人员业务水平有待提高；（2）职工老龄化，胜任工作能力有限；（3）航道维护资金缺口较大。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下一步改进措施：（1） 加强业务学习与培训。航道工作人员要认真学习《航道法》，并通过相关的培训，以法律法规来指导航道工作；财务人员应积极参加财务方面的业务培训，多与兄弟单位财务人员学习交流，不断提高自己的业务水平；(2)增加航道维护资金投入。多年来，我省航道养护资金虽然有所增长，但仍无法满足航道养护建设需要，没有专门的航道巡查船只，执法车辆车况老旧，车况较差，航道观测设备缺乏，等等，需要投入较多资金予以解决。</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（三）财政评价项目绩效评价结果。</w:t>
      </w:r>
    </w:p>
    <w:p>
      <w:pPr>
        <w:spacing w:line="578" w:lineRule="exact"/>
        <w:ind w:firstLine="640" w:firstLineChars="200"/>
        <w:rPr>
          <w:rFonts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t>我单位无此项内容。我</w:t>
      </w:r>
      <w:r>
        <w:rPr>
          <w:rFonts w:hint="eastAsia" w:ascii="仿宋" w:hAnsi="仿宋" w:eastAsia="仿宋"/>
          <w:color w:val="000000"/>
          <w:sz w:val="32"/>
          <w:szCs w:val="32"/>
          <w:lang w:val="en-US" w:eastAsia="zh-CN"/>
        </w:rPr>
        <w:t>单位</w:t>
      </w:r>
      <w:r>
        <w:rPr>
          <w:rFonts w:hint="eastAsia" w:ascii="仿宋" w:hAnsi="仿宋" w:eastAsia="仿宋"/>
          <w:color w:val="000000"/>
          <w:sz w:val="32"/>
          <w:szCs w:val="32"/>
        </w:rPr>
        <w:t>是三级单位，不开展部门绩效评价。</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472" w:firstLineChars="147"/>
        <w:rPr>
          <w:rFonts w:ascii="楷体" w:hAnsi="楷体" w:eastAsia="楷体" w:cs="楷体"/>
          <w:b/>
          <w:sz w:val="32"/>
          <w:szCs w:val="32"/>
        </w:rPr>
      </w:pPr>
      <w:bookmarkStart w:id="94" w:name="_Toc15262_WPSOffice_Level2"/>
      <w:bookmarkStart w:id="95" w:name="_Toc32639_WPSOffice_Level2"/>
      <w:bookmarkStart w:id="96" w:name="_Toc18325_WPSOffice_Level2"/>
      <w:bookmarkStart w:id="97" w:name="_Toc5978_WPSOffice_Level2"/>
      <w:bookmarkStart w:id="98" w:name="_Toc23598_WPSOffice_Level2"/>
      <w:bookmarkStart w:id="99" w:name="_Toc15565_WPSOffice_Level2"/>
      <w:r>
        <w:rPr>
          <w:rFonts w:hint="eastAsia" w:ascii="楷体" w:hAnsi="楷体" w:eastAsia="楷体" w:cs="楷体"/>
          <w:b/>
          <w:sz w:val="32"/>
          <w:szCs w:val="32"/>
        </w:rPr>
        <w:t>（一）机关运行经费支出情况。</w:t>
      </w:r>
      <w:bookmarkEnd w:id="94"/>
      <w:bookmarkEnd w:id="95"/>
      <w:bookmarkEnd w:id="96"/>
      <w:bookmarkEnd w:id="97"/>
      <w:bookmarkEnd w:id="98"/>
      <w:bookmarkEnd w:id="99"/>
    </w:p>
    <w:p>
      <w:pPr>
        <w:ind w:left="643"/>
        <w:rPr>
          <w:rFonts w:ascii="楷体" w:hAnsi="楷体" w:eastAsia="楷体" w:cs="楷体"/>
          <w:sz w:val="32"/>
          <w:szCs w:val="32"/>
        </w:rPr>
      </w:pPr>
      <w:r>
        <w:rPr>
          <w:rFonts w:hint="eastAsia" w:ascii="楷体" w:hAnsi="楷体" w:eastAsia="楷体" w:cs="楷体"/>
          <w:sz w:val="32"/>
          <w:szCs w:val="32"/>
        </w:rPr>
        <w:t>无</w:t>
      </w:r>
    </w:p>
    <w:p>
      <w:pPr>
        <w:ind w:firstLine="643" w:firstLineChars="200"/>
        <w:rPr>
          <w:rFonts w:ascii="楷体" w:hAnsi="楷体" w:eastAsia="楷体" w:cs="楷体"/>
          <w:b/>
          <w:sz w:val="32"/>
          <w:szCs w:val="32"/>
        </w:rPr>
      </w:pPr>
      <w:bookmarkStart w:id="100" w:name="_Toc23966_WPSOffice_Level2"/>
      <w:bookmarkStart w:id="101" w:name="_Toc30383_WPSOffice_Level2"/>
      <w:bookmarkStart w:id="102" w:name="_Toc13084_WPSOffice_Level2"/>
      <w:bookmarkStart w:id="103" w:name="_Toc25333_WPSOffice_Level2"/>
      <w:bookmarkStart w:id="104" w:name="_Toc3131_WPSOffice_Level2"/>
      <w:bookmarkStart w:id="105" w:name="_Toc32689_WPSOffice_Level2"/>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ind w:firstLine="640" w:firstLineChars="200"/>
        <w:rPr>
          <w:rFonts w:ascii="仿宋" w:hAnsi="仿宋" w:eastAsia="仿宋" w:cs="楷体"/>
          <w:b/>
          <w:sz w:val="32"/>
          <w:szCs w:val="32"/>
        </w:rPr>
      </w:pPr>
      <w:r>
        <w:rPr>
          <w:rFonts w:hint="eastAsia" w:ascii="仿宋" w:hAnsi="仿宋" w:eastAsia="仿宋"/>
          <w:sz w:val="32"/>
          <w:szCs w:val="32"/>
        </w:rPr>
        <w:t>2021年度我单位政府采购支出总额0万元，其中：政府采购货物支出0万元、政府采购工程支出0万元、政府采购服务支出0万元。授予中小企业合同金额0万元。</w:t>
      </w:r>
    </w:p>
    <w:p>
      <w:pPr>
        <w:ind w:firstLine="643" w:firstLineChars="200"/>
        <w:rPr>
          <w:rFonts w:ascii="楷体" w:hAnsi="楷体" w:eastAsia="楷体" w:cs="楷体"/>
          <w:b/>
          <w:sz w:val="32"/>
          <w:szCs w:val="32"/>
        </w:rPr>
      </w:pPr>
      <w:bookmarkStart w:id="106" w:name="_Toc19989_WPSOffice_Level2"/>
      <w:bookmarkStart w:id="107" w:name="_Toc29584_WPSOffice_Level2"/>
      <w:bookmarkStart w:id="108" w:name="_Toc6016_WPSOffice_Level2"/>
      <w:bookmarkStart w:id="109" w:name="_Toc15129_WPSOffice_Level2"/>
      <w:bookmarkStart w:id="110" w:name="_Toc10902_WPSOffice_Level2"/>
      <w:bookmarkStart w:id="111" w:name="_Toc527_WPSOffice_Level2"/>
      <w:r>
        <w:rPr>
          <w:rFonts w:hint="eastAsia" w:ascii="楷体" w:hAnsi="楷体" w:eastAsia="楷体" w:cs="楷体"/>
          <w:b/>
          <w:sz w:val="32"/>
          <w:szCs w:val="32"/>
        </w:rPr>
        <w:t>（三）国有资产占用情况。</w:t>
      </w:r>
      <w:bookmarkEnd w:id="106"/>
      <w:bookmarkEnd w:id="107"/>
      <w:bookmarkEnd w:id="108"/>
      <w:bookmarkEnd w:id="109"/>
      <w:bookmarkEnd w:id="110"/>
      <w:bookmarkEnd w:id="111"/>
    </w:p>
    <w:p>
      <w:pPr>
        <w:spacing w:line="578" w:lineRule="exact"/>
        <w:ind w:firstLine="640" w:firstLineChars="200"/>
        <w:rPr>
          <w:rFonts w:ascii="仿宋" w:hAnsi="仿宋" w:eastAsia="仿宋"/>
          <w:sz w:val="32"/>
          <w:szCs w:val="32"/>
        </w:rPr>
      </w:pPr>
      <w:r>
        <w:rPr>
          <w:rFonts w:hint="eastAsia" w:ascii="仿宋" w:hAnsi="仿宋" w:eastAsia="仿宋"/>
          <w:sz w:val="32"/>
          <w:szCs w:val="32"/>
        </w:rPr>
        <w:t>截至2021年12月31日，</w:t>
      </w:r>
      <w:r>
        <w:rPr>
          <w:rFonts w:ascii="仿宋" w:hAnsi="仿宋" w:eastAsia="仿宋"/>
          <w:sz w:val="32"/>
          <w:szCs w:val="32"/>
        </w:rPr>
        <w:t>本</w:t>
      </w:r>
      <w:r>
        <w:rPr>
          <w:rFonts w:hint="eastAsia" w:ascii="仿宋" w:hAnsi="仿宋" w:eastAsia="仿宋"/>
          <w:sz w:val="32"/>
          <w:szCs w:val="32"/>
        </w:rPr>
        <w:t>单位占用房屋面积</w:t>
      </w:r>
      <w:r>
        <w:rPr>
          <w:rFonts w:hint="eastAsia" w:ascii="仿宋" w:hAnsi="仿宋" w:eastAsia="仿宋"/>
          <w:sz w:val="32"/>
          <w:szCs w:val="32"/>
          <w:lang w:val="en-US" w:eastAsia="zh-CN"/>
        </w:rPr>
        <w:t>0</w:t>
      </w:r>
      <w:r>
        <w:rPr>
          <w:rFonts w:hint="eastAsia" w:ascii="仿宋" w:hAnsi="仿宋" w:eastAsia="仿宋"/>
          <w:sz w:val="32"/>
          <w:szCs w:val="32"/>
        </w:rPr>
        <w:t>平方米，其中：办公用房</w:t>
      </w:r>
      <w:r>
        <w:rPr>
          <w:rFonts w:ascii="仿宋" w:hAnsi="仿宋" w:eastAsia="仿宋"/>
          <w:sz w:val="32"/>
          <w:szCs w:val="32"/>
        </w:rPr>
        <w:t>0</w:t>
      </w:r>
      <w:r>
        <w:rPr>
          <w:rFonts w:hint="eastAsia" w:ascii="仿宋" w:hAnsi="仿宋" w:eastAsia="仿宋"/>
          <w:sz w:val="32"/>
          <w:szCs w:val="32"/>
        </w:rPr>
        <w:t>平方米，业务用房</w:t>
      </w:r>
      <w:r>
        <w:rPr>
          <w:rFonts w:hint="eastAsia" w:ascii="仿宋" w:hAnsi="仿宋" w:eastAsia="仿宋"/>
          <w:sz w:val="32"/>
          <w:szCs w:val="32"/>
          <w:lang w:val="en-US" w:eastAsia="zh-CN"/>
        </w:rPr>
        <w:t>0</w:t>
      </w:r>
      <w:r>
        <w:rPr>
          <w:rFonts w:hint="eastAsia" w:ascii="仿宋" w:hAnsi="仿宋" w:eastAsia="仿宋"/>
          <w:sz w:val="32"/>
          <w:szCs w:val="32"/>
        </w:rPr>
        <w:t>平方米，其他（不含构筑物）</w:t>
      </w:r>
      <w:r>
        <w:rPr>
          <w:rFonts w:ascii="仿宋" w:hAnsi="仿宋" w:eastAsia="仿宋"/>
          <w:sz w:val="32"/>
          <w:szCs w:val="32"/>
        </w:rPr>
        <w:t>0</w:t>
      </w:r>
      <w:r>
        <w:rPr>
          <w:rFonts w:hint="eastAsia" w:ascii="仿宋" w:hAnsi="仿宋" w:eastAsia="仿宋"/>
          <w:sz w:val="32"/>
          <w:szCs w:val="32"/>
        </w:rPr>
        <w:t>平方米。</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共有车辆1辆，其中：从车辆种类说明：轿车1辆、越野车0辆、小型载客汽车0辆、大中型载客汽车0辆、其他车型0辆；从车辆使用情况说明：副部（省）级及以上领导用车0辆、主要领导干部用车0辆、机要通信用车0辆、应急保障用车0辆、执法执勤用车0辆、特种专业技术用车0辆、离退休干部用车0辆、其他用车</w:t>
      </w:r>
      <w:r>
        <w:rPr>
          <w:rFonts w:hint="eastAsia" w:ascii="仿宋" w:hAnsi="仿宋" w:eastAsia="仿宋"/>
          <w:sz w:val="32"/>
          <w:szCs w:val="32"/>
          <w:lang w:val="en-US" w:eastAsia="zh-CN"/>
        </w:rPr>
        <w:t>1</w:t>
      </w:r>
      <w:bookmarkStart w:id="118" w:name="_GoBack"/>
      <w:bookmarkEnd w:id="118"/>
      <w:r>
        <w:rPr>
          <w:rFonts w:hint="eastAsia" w:ascii="仿宋" w:hAnsi="仿宋" w:eastAsia="仿宋"/>
          <w:sz w:val="32"/>
          <w:szCs w:val="32"/>
        </w:rPr>
        <w:t>辆。</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单位价值50万元（含）以上通用设备0台（套），单价100万元（含）以上专用设备0台（套）。</w:t>
      </w:r>
    </w:p>
    <w:p>
      <w:pPr>
        <w:spacing w:line="578" w:lineRule="exact"/>
        <w:ind w:firstLine="640" w:firstLineChars="200"/>
        <w:rPr>
          <w:rFonts w:ascii="黑体" w:hAnsi="ˎ̥" w:eastAsia="黑体"/>
          <w:sz w:val="32"/>
          <w:szCs w:val="32"/>
        </w:rPr>
      </w:pPr>
      <w:r>
        <w:rPr>
          <w:rFonts w:hint="eastAsia" w:ascii="仿宋" w:hAnsi="仿宋" w:eastAsia="仿宋"/>
          <w:sz w:val="32"/>
          <w:szCs w:val="32"/>
        </w:rPr>
        <w:t>年末在建工程0万元。</w:t>
      </w:r>
      <w:bookmarkStart w:id="112" w:name="_Toc8808_WPSOffice_Level1"/>
      <w:bookmarkStart w:id="113" w:name="_Toc4398_WPSOffice_Level1"/>
      <w:bookmarkStart w:id="114" w:name="_Toc17580_WPSOffice_Level1"/>
      <w:bookmarkStart w:id="115" w:name="_Toc8874_WPSOffice_Level1"/>
      <w:bookmarkStart w:id="116" w:name="_Toc11039_WPSOffice_Level1"/>
      <w:bookmarkStart w:id="117" w:name="_Toc15425_WPSOffice_Level1"/>
    </w:p>
    <w:p>
      <w:pPr>
        <w:jc w:val="center"/>
        <w:rPr>
          <w:rFonts w:ascii="黑体" w:hAnsi="ˎ̥" w:eastAsia="黑体"/>
          <w:sz w:val="32"/>
          <w:szCs w:val="32"/>
        </w:rPr>
      </w:pPr>
    </w:p>
    <w:p>
      <w:pPr>
        <w:jc w:val="center"/>
        <w:rPr>
          <w:rFonts w:ascii="黑体" w:hAnsi="ˎ̥" w:eastAsia="黑体"/>
          <w:sz w:val="32"/>
          <w:szCs w:val="32"/>
        </w:rPr>
      </w:pPr>
      <w:r>
        <w:rPr>
          <w:rFonts w:hint="eastAsia" w:ascii="黑体" w:hAnsi="ˎ̥" w:eastAsia="黑体"/>
          <w:sz w:val="32"/>
          <w:szCs w:val="32"/>
        </w:rPr>
        <w:t>第四部分  名词解释</w:t>
      </w:r>
      <w:bookmarkEnd w:id="112"/>
      <w:bookmarkEnd w:id="113"/>
      <w:bookmarkEnd w:id="114"/>
      <w:bookmarkEnd w:id="115"/>
      <w:bookmarkEnd w:id="116"/>
      <w:bookmarkEnd w:id="117"/>
    </w:p>
    <w:p>
      <w:pPr>
        <w:jc w:val="center"/>
        <w:rPr>
          <w:rFonts w:ascii="黑体" w:hAnsi="ˎ̥" w:eastAsia="黑体"/>
          <w:sz w:val="32"/>
          <w:szCs w:val="32"/>
        </w:rPr>
      </w:pPr>
    </w:p>
    <w:p>
      <w:pPr>
        <w:numPr>
          <w:ilvl w:val="0"/>
          <w:numId w:val="2"/>
        </w:numPr>
        <w:ind w:firstLine="640" w:firstLineChars="200"/>
        <w:rPr>
          <w:rFonts w:ascii="仿宋_GB2312" w:hAnsi="ˎ̥" w:eastAsia="仿宋_GB2312"/>
          <w:sz w:val="32"/>
          <w:szCs w:val="32"/>
        </w:rPr>
      </w:pPr>
      <w:r>
        <w:rPr>
          <w:rFonts w:hint="eastAsia" w:ascii="仿宋_GB2312" w:hAnsi="ˎ̥" w:eastAsia="仿宋_GB2312"/>
          <w:sz w:val="32"/>
          <w:szCs w:val="32"/>
        </w:rPr>
        <w:t>财政拨款收入：指同级政府财政部门当年拨付的各类财政拨款。</w:t>
      </w:r>
    </w:p>
    <w:p>
      <w:pPr>
        <w:ind w:firstLine="640" w:firstLineChars="200"/>
        <w:rPr>
          <w:rFonts w:ascii="仿宋_GB2312" w:hAnsi="ˎ̥" w:eastAsia="仿宋_GB2312"/>
          <w:sz w:val="32"/>
          <w:szCs w:val="32"/>
        </w:rPr>
      </w:pPr>
      <w:r>
        <w:rPr>
          <w:rFonts w:hint="eastAsia" w:ascii="仿宋_GB2312" w:hAnsi="ˎ̥" w:eastAsia="仿宋_GB2312"/>
          <w:sz w:val="32"/>
          <w:szCs w:val="32"/>
        </w:rPr>
        <w:t>二、上级补助收入：指事业单位从主管部门和上级单位取得的非财政补助收入。</w:t>
      </w:r>
    </w:p>
    <w:p>
      <w:pPr>
        <w:ind w:firstLine="640" w:firstLineChars="200"/>
        <w:rPr>
          <w:rFonts w:ascii="仿宋_GB2312" w:hAnsi="ˎ̥" w:eastAsia="仿宋_GB2312"/>
          <w:sz w:val="32"/>
          <w:szCs w:val="32"/>
        </w:rPr>
      </w:pPr>
      <w:r>
        <w:rPr>
          <w:rFonts w:hint="eastAsia" w:ascii="仿宋_GB2312" w:hAnsi="ˎ̥" w:eastAsia="仿宋_GB2312"/>
          <w:sz w:val="32"/>
          <w:szCs w:val="32"/>
        </w:rPr>
        <w:t>三、事业收入：指事业单位开展专业业务活动及辅助活动取得的收入。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五、附属单位上缴收入：指事业单位取得附属独立核算单位根据有关规定上缴的收入。</w:t>
      </w:r>
    </w:p>
    <w:p>
      <w:pPr>
        <w:ind w:firstLine="640" w:firstLineChars="200"/>
        <w:rPr>
          <w:rFonts w:ascii="仿宋_GB2312" w:hAnsi="ˎ̥" w:eastAsia="仿宋_GB2312"/>
          <w:sz w:val="32"/>
          <w:szCs w:val="32"/>
        </w:rPr>
      </w:pPr>
      <w:r>
        <w:rPr>
          <w:rFonts w:hint="eastAsia" w:ascii="仿宋_GB2312" w:hAnsi="ˎ̥" w:eastAsia="仿宋_GB2312"/>
          <w:sz w:val="32"/>
          <w:szCs w:val="32"/>
        </w:rPr>
        <w:t>六、其他收入：指除上述“财政拨款收入”“事业收入”“上级补助收入”“经营收入”“附属单位上缴收入”等以外的收入。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ind w:firstLine="640" w:firstLineChars="200"/>
        <w:rPr>
          <w:rFonts w:ascii="仿宋_GB2312" w:hAnsi="ˎ̥" w:eastAsia="仿宋_GB2312"/>
          <w:sz w:val="32"/>
          <w:szCs w:val="32"/>
        </w:rPr>
      </w:pPr>
      <w:r>
        <w:rPr>
          <w:rFonts w:hint="eastAsia" w:ascii="仿宋_GB2312" w:hAnsi="ˎ̥" w:eastAsia="仿宋_GB2312"/>
          <w:sz w:val="32"/>
          <w:szCs w:val="32"/>
        </w:rPr>
        <w:t>八、年初结转和结余：指以前年度尚未完成、结转到本年按有关规定继续使用的资金。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九、结余分配：指事业单位缴纳企业所得税以及从非财政拨款结余或经营结余中提取各类结余的情况。</w:t>
      </w:r>
    </w:p>
    <w:p>
      <w:pPr>
        <w:ind w:firstLine="640" w:firstLineChars="200"/>
        <w:rPr>
          <w:rFonts w:ascii="仿宋_GB2312" w:hAnsi="ˎ̥" w:eastAsia="仿宋_GB2312"/>
          <w:sz w:val="32"/>
          <w:szCs w:val="32"/>
        </w:rPr>
      </w:pPr>
      <w:r>
        <w:rPr>
          <w:rFonts w:hint="eastAsia" w:ascii="仿宋_GB2312" w:hAnsi="ˎ̥" w:eastAsia="仿宋_GB2312"/>
          <w:sz w:val="32"/>
          <w:szCs w:val="32"/>
        </w:rPr>
        <w:t>十、年末结转和结余：指本年度或以前年度预算安排、因客观条件发生变化无法按原计划实施，需要延迟到以后年度按有关规定继续使用的资金（不包括事业单位非财政拨款结余和专用结余）。</w:t>
      </w:r>
    </w:p>
    <w:p>
      <w:pPr>
        <w:ind w:firstLine="640" w:firstLineChars="200"/>
        <w:rPr>
          <w:rFonts w:ascii="仿宋_GB2312" w:hAnsi="ˎ̥" w:eastAsia="仿宋_GB2312"/>
          <w:sz w:val="32"/>
          <w:szCs w:val="32"/>
        </w:rPr>
      </w:pPr>
      <w:r>
        <w:rPr>
          <w:rFonts w:hint="eastAsia" w:ascii="仿宋_GB2312" w:hAnsi="ˎ̥" w:eastAsia="仿宋_GB2312"/>
          <w:sz w:val="32"/>
          <w:szCs w:val="32"/>
        </w:rPr>
        <w:t>十一、基本支出：指为保障机构正常运转、完成日常工作任务而发生的人员支出和公用支出。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十二、项目支出：指在基本支出之外为完成特定行政任务和事业发展目标所发生的支出。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十三、经营支出：指事业单位在专业业务活动及其辅助活动之外开展非独立核算经营活动发生的支出。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四、“三公”经费：纳入本级财政预决算管理的“三公”经费，是指用一般公共预算财政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ind w:firstLine="645"/>
        <w:rPr>
          <w:rFonts w:ascii="仿宋_GB2312" w:hAnsi="ˎ̥" w:eastAsia="仿宋_GB2312"/>
          <w:sz w:val="32"/>
          <w:szCs w:val="32"/>
        </w:rPr>
      </w:pPr>
      <w:r>
        <w:rPr>
          <w:rFonts w:hint="eastAsia" w:ascii="仿宋_GB2312" w:hAnsi="ˎ̥" w:eastAsia="仿宋_GB2312"/>
          <w:sz w:val="32"/>
          <w:szCs w:val="32"/>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jc w:val="center"/>
      </w:pP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rPr>
        <w:rFonts w:hint="eastAsia"/>
      </w:rPr>
    </w:lvl>
  </w:abstractNum>
  <w:abstractNum w:abstractNumId="1913692045">
    <w:nsid w:val="72109F8D"/>
    <w:multiLevelType w:val="singleLevel"/>
    <w:tmpl w:val="72109F8D"/>
    <w:lvl w:ilvl="0" w:tentative="1">
      <w:start w:val="7"/>
      <w:numFmt w:val="chineseCounting"/>
      <w:suff w:val="nothing"/>
      <w:lvlText w:val="%1、"/>
      <w:lvlJc w:val="left"/>
      <w:rPr>
        <w:rFonts w:hint="eastAsia"/>
      </w:rPr>
    </w:lvl>
  </w:abstractNum>
  <w:num w:numId="1">
    <w:abstractNumId w:val="191369204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Plain Text"/>
    <w:basedOn w:val="1"/>
    <w:link w:val="14"/>
    <w:uiPriority w:val="0"/>
    <w:rPr>
      <w:rFonts w:ascii="宋体" w:hAnsi="Courier New" w:cs="仿宋_GB2312"/>
      <w:szCs w:val="21"/>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style>
  <w:style w:type="paragraph" w:customStyle="1" w:styleId="7">
    <w:name w:val="WPSOffice手动目录 1"/>
    <w:uiPriority w:val="0"/>
    <w:rPr>
      <w:rFonts w:ascii="Times New Roman" w:hAnsi="Times New Roman" w:eastAsia="宋体" w:cs="Times New Roman"/>
      <w:lang w:val="en-US" w:eastAsia="zh-CN" w:bidi="ar-SA"/>
    </w:rPr>
  </w:style>
  <w:style w:type="paragraph" w:customStyle="1" w:styleId="8">
    <w:name w:val="WPSOffice手动目录 2"/>
    <w:uiPriority w:val="0"/>
    <w:pPr>
      <w:ind w:left="200" w:leftChars="200"/>
    </w:pPr>
    <w:rPr>
      <w:rFonts w:ascii="Times New Roman" w:hAnsi="Times New Roman" w:eastAsia="宋体" w:cs="Times New Roman"/>
      <w:lang w:val="en-US" w:eastAsia="zh-CN" w:bidi="ar-SA"/>
    </w:rPr>
  </w:style>
  <w:style w:type="paragraph" w:customStyle="1" w:styleId="9">
    <w:name w:val="列出段落1"/>
    <w:basedOn w:val="1"/>
    <w:qFormat/>
    <w:uiPriority w:val="34"/>
    <w:pPr>
      <w:ind w:firstLine="420" w:firstLineChars="200"/>
    </w:pPr>
  </w:style>
  <w:style w:type="paragraph" w:customStyle="1" w:styleId="10">
    <w:name w:val="正文1 Char Char Char"/>
    <w:basedOn w:val="1"/>
    <w:uiPriority w:val="0"/>
    <w:pPr>
      <w:spacing w:line="360" w:lineRule="auto"/>
      <w:ind w:firstLine="200" w:firstLineChars="200"/>
    </w:pPr>
  </w:style>
  <w:style w:type="paragraph" w:customStyle="1"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页脚 Char"/>
    <w:basedOn w:val="5"/>
    <w:link w:val="3"/>
    <w:uiPriority w:val="0"/>
    <w:rPr>
      <w:rFonts w:ascii="Times New Roman" w:hAnsi="Times New Roman" w:eastAsia="宋体" w:cs="Times New Roman"/>
      <w:sz w:val="18"/>
      <w:szCs w:val="18"/>
    </w:rPr>
  </w:style>
  <w:style w:type="character" w:customStyle="1" w:styleId="13">
    <w:name w:val="页眉 Char"/>
    <w:basedOn w:val="5"/>
    <w:link w:val="4"/>
    <w:semiHidden/>
    <w:uiPriority w:val="99"/>
    <w:rPr>
      <w:rFonts w:ascii="Times New Roman" w:hAnsi="Times New Roman" w:eastAsia="宋体" w:cs="Times New Roman"/>
      <w:sz w:val="18"/>
      <w:szCs w:val="18"/>
    </w:rPr>
  </w:style>
  <w:style w:type="character" w:customStyle="1" w:styleId="14">
    <w:name w:val="纯文本 Char"/>
    <w:basedOn w:val="5"/>
    <w:link w:val="2"/>
    <w:qFormat/>
    <w:uiPriority w:val="0"/>
    <w:rPr>
      <w:rFonts w:ascii="宋体" w:hAnsi="Courier New" w:eastAsia="宋体" w:cs="仿宋_GB2312"/>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1308</Words>
  <Characters>7461</Characters>
  <Lines>62</Lines>
  <Paragraphs>17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2021-08-24T03:33:00Z</dcterms:created>
  <dc:creator>11</dc:creator>
  <cp:lastModifiedBy>未定义</cp:lastModifiedBy>
  <dcterms:modified xsi:type="dcterms:W3CDTF">2022-09-07T08:30:21Z</dcterms:modified>
  <dc:title>海南省马村航道所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