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2024年海南省马村航道所单位预算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海南省马村航道所概况</w:t>
      </w:r>
    </w:p>
    <w:p>
      <w:pPr>
        <w:pStyle w:val="5"/>
        <w:numPr>
          <w:numId w:val="0"/>
        </w:numPr>
        <w:jc w:val="left"/>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numPr>
          <w:numId w:val="0"/>
        </w:numPr>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kern w:val="2"/>
          <w:sz w:val="32"/>
          <w:lang w:val="zh-CN"/>
        </w:rPr>
        <w:t>机构设置</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海南省马村航道所2024年单位预算表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财政拨款收支总表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一般公共预算支出表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一般公共预算基本支出表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一般公共预算“三公”经费支出表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政府性基金预算支出表</w:t>
      </w:r>
    </w:p>
    <w:p>
      <w:pPr>
        <w:pStyle w:val="5"/>
        <w:numPr>
          <w:ilvl w:val="0"/>
          <w:numId w:val="2"/>
        </w:numPr>
        <w:ind w:firstLineChars="0"/>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政府性基金预算“三公”经费支出表</w:t>
      </w:r>
    </w:p>
    <w:p>
      <w:pPr>
        <w:pStyle w:val="5"/>
        <w:numPr>
          <w:ilvl w:val="0"/>
          <w:numId w:val="2"/>
        </w:numPr>
        <w:ind w:firstLineChars="0"/>
        <w:jc w:val="left"/>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单位收支总表</w:t>
      </w:r>
    </w:p>
    <w:p>
      <w:pPr>
        <w:pStyle w:val="5"/>
        <w:numPr>
          <w:ilvl w:val="0"/>
          <w:numId w:val="2"/>
        </w:numPr>
        <w:ind w:firstLineChars="0"/>
        <w:jc w:val="left"/>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单位收入总表</w:t>
      </w:r>
    </w:p>
    <w:p>
      <w:pPr>
        <w:pStyle w:val="5"/>
        <w:numPr>
          <w:ilvl w:val="0"/>
          <w:numId w:val="2"/>
        </w:numPr>
        <w:ind w:firstLineChars="0"/>
        <w:jc w:val="left"/>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单位支出总表</w:t>
      </w:r>
    </w:p>
    <w:p>
      <w:pPr>
        <w:pStyle w:val="5"/>
        <w:numPr>
          <w:ilvl w:val="0"/>
          <w:numId w:val="2"/>
        </w:numPr>
        <w:ind w:firstLineChars="0"/>
        <w:jc w:val="left"/>
        <w:rPr>
          <w:rFonts w:hint="eastAsia" w:ascii="国标仿宋" w:hAnsi="国标仿宋" w:eastAsia="国标仿宋" w:cs="国标仿宋"/>
          <w:b w:val="0"/>
          <w:bCs w:val="0"/>
          <w:sz w:val="32"/>
          <w:szCs w:val="32"/>
        </w:rPr>
      </w:pPr>
      <w:r>
        <w:rPr>
          <w:rFonts w:hint="eastAsia" w:ascii="国标仿宋" w:hAnsi="国标仿宋" w:eastAsia="国标仿宋" w:cs="国标仿宋"/>
          <w:b w:val="0"/>
          <w:bCs w:val="0"/>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海南省马村航道所2024年单位预算情况说明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海南省马村航道所概况</w:t>
      </w:r>
    </w:p>
    <w:p>
      <w:pPr>
        <w:jc w:val="left"/>
        <w:rPr>
          <w:rFonts w:ascii="仿宋_GB2312" w:hAnsi="仿宋_GB2312" w:eastAsia="仿宋_GB2312" w:cs="仿宋_GB2312"/>
          <w:sz w:val="32"/>
          <w:szCs w:val="32"/>
        </w:rPr>
      </w:pPr>
    </w:p>
    <w:p>
      <w:pPr>
        <w:pStyle w:val="5"/>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ind w:firstLine="579" w:firstLineChars="181"/>
        <w:rPr>
          <w:rFonts w:ascii="仿宋_GB2312" w:hAnsi="黑体" w:eastAsia="仿宋_GB2312" w:cs="仿宋_GB2312"/>
          <w:bCs/>
          <w:sz w:val="32"/>
          <w:szCs w:val="32"/>
        </w:rPr>
      </w:pPr>
      <w:r>
        <w:rPr>
          <w:rFonts w:hint="eastAsia" w:ascii="仿宋_GB2312" w:hAnsi="黑体" w:eastAsia="仿宋_GB2312"/>
          <w:sz w:val="32"/>
          <w:szCs w:val="32"/>
        </w:rPr>
        <w:t>海南省马村航道所隶属海南省港航管理局，是从事公益服务的公益一类事业单位，正科级财政预算管理单位。</w:t>
      </w:r>
      <w:r>
        <w:rPr>
          <w:rFonts w:hint="eastAsia" w:ascii="仿宋_GB2312" w:hAnsi="仿宋_GB2312" w:eastAsia="仿宋_GB2312" w:cs="仿宋_GB2312"/>
          <w:sz w:val="32"/>
          <w:szCs w:val="32"/>
        </w:rPr>
        <w:t>海南省马村航道所（原金牌航道所）成立于1995年, 编</w:t>
      </w:r>
      <w:r>
        <w:rPr>
          <w:rFonts w:hint="eastAsia" w:ascii="仿宋_GB2312" w:hAnsi="黑体" w:eastAsia="仿宋_GB2312" w:cs="仿宋_GB2312"/>
          <w:bCs/>
          <w:sz w:val="32"/>
          <w:szCs w:val="32"/>
        </w:rPr>
        <w:t>办批复〔1995〕2号文，定编文件号为琼编【2002】119号，2016年9月份经省编办更名为海南省马村航道所。</w:t>
      </w:r>
    </w:p>
    <w:p>
      <w:pPr>
        <w:ind w:firstLine="579" w:firstLineChars="181"/>
        <w:rPr>
          <w:rFonts w:hint="eastAsia" w:ascii="仿宋_GB2312" w:hAnsi="黑体" w:eastAsia="仿宋_GB2312" w:cs="仿宋_GB2312"/>
          <w:bCs/>
          <w:sz w:val="32"/>
          <w:szCs w:val="32"/>
        </w:rPr>
      </w:pPr>
      <w:r>
        <w:rPr>
          <w:rFonts w:hint="eastAsia" w:ascii="仿宋_GB2312" w:hAnsi="黑体" w:eastAsia="仿宋_GB2312"/>
          <w:sz w:val="32"/>
          <w:szCs w:val="32"/>
        </w:rPr>
        <w:t>其主要职责：</w:t>
      </w:r>
      <w:r>
        <w:rPr>
          <w:rFonts w:hint="eastAsia" w:ascii="仿宋_GB2312" w:hAnsi="宋体" w:eastAsia="仿宋_GB2312" w:cs="宋体"/>
          <w:color w:val="000000"/>
          <w:kern w:val="0"/>
          <w:sz w:val="32"/>
          <w:szCs w:val="30"/>
        </w:rPr>
        <w:t>贯彻执行国家和我省航道管理养护法律法规、政策及工作计划，具体实施上级交通航道管理部门工作任务;对管辖航道进行养护管理，保证航道畅通；对管辖航标进行养护管理，保证航标发光正常；对管辖航道及航标进行测量和定位；</w:t>
      </w:r>
      <w:r>
        <w:rPr>
          <w:rFonts w:hint="eastAsia" w:ascii="仿宋_GB2312" w:hAnsi="黑体" w:eastAsia="仿宋_GB2312" w:cs="仿宋_GB2312"/>
          <w:bCs/>
          <w:sz w:val="32"/>
          <w:szCs w:val="32"/>
        </w:rPr>
        <w:t>根据法律法规规定和授权，我所负责管理和养护,航标9座(博丛灯桩、厚咀灯桩、新盈前导灯桩、新盈后导灯桩、金牌灯桩、道潦灯桩、金牌港3座水上浮标)马村港、金牌港沿海航道20公里,南渡江屯昌段内河航道72.5公里。</w:t>
      </w:r>
    </w:p>
    <w:p>
      <w:pPr>
        <w:pStyle w:val="5"/>
        <w:numPr>
          <w:ilvl w:val="0"/>
          <w:numId w:val="4"/>
        </w:numPr>
        <w:ind w:firstLine="640"/>
        <w:jc w:val="left"/>
        <w:rPr>
          <w:rFonts w:hint="eastAsia" w:ascii="黑体" w:hAnsi="黑体" w:eastAsia="黑体" w:cs="仿宋_GB2312"/>
          <w:sz w:val="32"/>
          <w:szCs w:val="32"/>
          <w:lang w:eastAsia="zh-CN"/>
        </w:rPr>
      </w:pPr>
      <w:r>
        <w:rPr>
          <w:rFonts w:hint="eastAsia" w:ascii="黑体" w:hAnsi="黑体" w:eastAsia="黑体"/>
          <w:kern w:val="2"/>
          <w:sz w:val="32"/>
          <w:lang w:val="zh-CN"/>
        </w:rPr>
        <w:t>机构设置</w:t>
      </w:r>
      <w:bookmarkStart w:id="3" w:name="_GoBack"/>
      <w:bookmarkEnd w:id="3"/>
    </w:p>
    <w:p>
      <w:pPr>
        <w:pStyle w:val="5"/>
        <w:numPr>
          <w:numId w:val="0"/>
        </w:numPr>
        <w:jc w:val="left"/>
        <w:rPr>
          <w:rFonts w:hint="eastAsia" w:ascii="黑体" w:hAnsi="黑体" w:eastAsia="黑体"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海南省</w:t>
      </w:r>
      <w:r>
        <w:rPr>
          <w:rFonts w:hint="eastAsia" w:ascii="仿宋_GB2312" w:hAnsi="仿宋_GB2312" w:eastAsia="仿宋_GB2312" w:cs="仿宋_GB2312"/>
          <w:sz w:val="32"/>
          <w:szCs w:val="32"/>
          <w:lang w:eastAsia="zh-CN"/>
        </w:rPr>
        <w:t>马村航道所</w:t>
      </w:r>
      <w:r>
        <w:rPr>
          <w:rFonts w:hint="eastAsia" w:ascii="仿宋_GB2312" w:hAnsi="仿宋_GB2312" w:eastAsia="仿宋_GB2312" w:cs="仿宋_GB2312"/>
          <w:sz w:val="32"/>
          <w:szCs w:val="32"/>
        </w:rPr>
        <w:t>内设</w:t>
      </w:r>
      <w:r>
        <w:rPr>
          <w:rFonts w:hint="eastAsia" w:ascii="仿宋_GB2312" w:hAnsi="仿宋_GB2312" w:eastAsia="仿宋_GB2312" w:cs="仿宋_GB2312"/>
          <w:sz w:val="32"/>
          <w:szCs w:val="32"/>
          <w:lang w:eastAsia="zh-CN"/>
        </w:rPr>
        <w:t>所长室、财务室、综合办公室、航道航标室</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pStyle w:val="5"/>
        <w:widowControl w:val="0"/>
        <w:numPr>
          <w:numId w:val="0"/>
        </w:numPr>
        <w:jc w:val="left"/>
        <w:rPr>
          <w:rFonts w:hint="eastAsia" w:ascii="黑体" w:hAnsi="黑体" w:eastAsia="黑体" w:cs="仿宋_GB2312"/>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第二部分 海南省马村航道所</w:t>
      </w:r>
      <w:r>
        <w:rPr>
          <w:rFonts w:hint="eastAsia" w:ascii="仿宋_GB2312" w:hAnsi="黑体" w:eastAsia="仿宋_GB2312" w:cs="仿宋_GB2312"/>
          <w:sz w:val="32"/>
          <w:szCs w:val="32"/>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海南省马村航道所</w:t>
      </w:r>
      <w:r>
        <w:rPr>
          <w:rFonts w:hint="eastAsia" w:ascii="仿宋_GB2312" w:hAnsi="黑体" w:eastAsia="仿宋_GB2312" w:cs="仿宋_GB2312"/>
          <w:sz w:val="32"/>
          <w:szCs w:val="32"/>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一、关于海南省马村航道所</w:t>
      </w:r>
      <w:r>
        <w:rPr>
          <w:rFonts w:hint="eastAsia" w:ascii="仿宋_GB2312" w:hAnsi="黑体" w:eastAsia="仿宋_GB2312" w:cs="仿宋_GB2312"/>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4年财政拨款收支总预算413.76万元。</w:t>
      </w:r>
      <w:r>
        <w:rPr>
          <w:rFonts w:hint="eastAsia" w:ascii="仿宋_GB2312" w:hAnsi="宋体" w:eastAsia="仿宋_GB2312" w:cs="宋体"/>
          <w:color w:val="000000"/>
          <w:kern w:val="0"/>
          <w:sz w:val="32"/>
          <w:szCs w:val="30"/>
        </w:rPr>
        <w:t>比上年预算数396.18万元增加17.58万元，</w:t>
      </w:r>
      <w:r>
        <w:rPr>
          <w:rFonts w:hint="eastAsia" w:ascii="仿宋_GB2312" w:hAnsi="仿宋_GB2312" w:eastAsia="仿宋_GB2312" w:cs="仿宋_GB2312"/>
          <w:sz w:val="32"/>
          <w:lang w:val="en-US" w:eastAsia="zh-CN"/>
        </w:rPr>
        <w:t>主要原因是基本支出预算人员经费增加</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其中，收入总计413.76万元，包括一般公共预算本年收入413.76万元、上年结转0万元，政府性基金预算本年收入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万元；支出总计413.76万元，包括社会保障和就业支出57.81万元、交通运输支出320.39万元、卫生健康支出12.33万元、住房保障支出23.23万元，结转下年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二、关于海南省马村航道</w:t>
      </w:r>
      <w:r>
        <w:rPr>
          <w:rFonts w:hint="eastAsia" w:ascii="仿宋_GB2312" w:hAnsi="黑体" w:eastAsia="仿宋_GB2312" w:cs="仿宋_GB2312"/>
          <w:sz w:val="32"/>
          <w:szCs w:val="32"/>
        </w:rPr>
        <w:t>2024</w:t>
      </w:r>
      <w:r>
        <w:rPr>
          <w:rFonts w:hint="eastAsia" w:ascii="黑体" w:hAnsi="黑体" w:eastAsia="黑体"/>
          <w:sz w:val="32"/>
          <w:szCs w:val="32"/>
        </w:rPr>
        <w:t>年一般公共预算当年拨款情况说明</w:t>
      </w:r>
    </w:p>
    <w:p>
      <w:pPr>
        <w:ind w:firstLine="640"/>
        <w:jc w:val="left"/>
        <w:rPr>
          <w:rFonts w:ascii="黑体" w:hAnsi="黑体" w:eastAsia="黑体"/>
          <w:sz w:val="32"/>
          <w:szCs w:val="32"/>
        </w:rPr>
      </w:pPr>
      <w:r>
        <w:rPr>
          <w:rFonts w:hint="eastAsia" w:ascii="黑体" w:hAnsi="黑体" w:eastAsia="黑体"/>
          <w:sz w:val="32"/>
          <w:szCs w:val="32"/>
        </w:rPr>
        <w:t>（一）一般公共预算当年规模变化情况</w:t>
      </w:r>
    </w:p>
    <w:p>
      <w:pPr>
        <w:ind w:firstLine="640"/>
        <w:rPr>
          <w:rFonts w:hint="eastAsia" w:ascii="仿宋_GB2312" w:hAnsi="仿宋_GB2312" w:eastAsia="仿宋_GB2312" w:cs="仿宋_GB2312"/>
          <w:sz w:val="32"/>
        </w:rPr>
      </w:pPr>
      <w:r>
        <w:rPr>
          <w:rFonts w:hint="eastAsia" w:ascii="仿宋_GB2312" w:hAnsi="宋体" w:eastAsia="仿宋_GB2312" w:cs="宋体"/>
          <w:color w:val="000000"/>
          <w:kern w:val="0"/>
          <w:sz w:val="32"/>
          <w:szCs w:val="30"/>
        </w:rPr>
        <w:t>海南省马村航道所</w:t>
      </w:r>
      <w:r>
        <w:rPr>
          <w:rFonts w:ascii="仿宋_GB2312" w:hAnsi="宋体" w:eastAsia="仿宋_GB2312" w:cs="宋体"/>
          <w:color w:val="000000"/>
          <w:kern w:val="0"/>
          <w:sz w:val="32"/>
          <w:szCs w:val="30"/>
        </w:rPr>
        <w:t>202</w:t>
      </w:r>
      <w:r>
        <w:rPr>
          <w:rFonts w:hint="eastAsia" w:ascii="仿宋_GB2312" w:hAnsi="宋体" w:eastAsia="仿宋_GB2312" w:cs="宋体"/>
          <w:color w:val="000000"/>
          <w:kern w:val="0"/>
          <w:sz w:val="32"/>
          <w:szCs w:val="30"/>
        </w:rPr>
        <w:t>4年一般公共预算当年拨款413.76万元，比上年预算数396.18万元增加17.58万元，</w:t>
      </w:r>
      <w:r>
        <w:rPr>
          <w:rFonts w:hint="eastAsia" w:ascii="仿宋_GB2312" w:hAnsi="仿宋_GB2312" w:eastAsia="仿宋_GB2312" w:cs="仿宋_GB2312"/>
          <w:sz w:val="32"/>
          <w:lang w:val="en-US" w:eastAsia="zh-CN"/>
        </w:rPr>
        <w:t>主要原因是基本支出预算人员经费增加</w:t>
      </w:r>
      <w:r>
        <w:rPr>
          <w:rFonts w:hint="eastAsia" w:ascii="仿宋_GB2312" w:hAnsi="仿宋_GB2312" w:eastAsia="仿宋_GB2312" w:cs="仿宋_GB2312"/>
          <w:sz w:val="32"/>
        </w:rPr>
        <w:t>。</w:t>
      </w:r>
    </w:p>
    <w:p>
      <w:pPr>
        <w:ind w:firstLine="640"/>
        <w:rPr>
          <w:rFonts w:ascii="黑体" w:hAnsi="黑体" w:eastAsia="黑体"/>
          <w:sz w:val="32"/>
          <w:szCs w:val="32"/>
        </w:rPr>
      </w:pPr>
      <w:r>
        <w:rPr>
          <w:rFonts w:hint="eastAsia" w:ascii="黑体" w:hAnsi="黑体" w:eastAsia="黑体"/>
          <w:sz w:val="32"/>
          <w:szCs w:val="32"/>
        </w:rPr>
        <w:t>（二）一般公共预算当年拨款结构情况</w:t>
      </w:r>
    </w:p>
    <w:p>
      <w:pPr>
        <w:ind w:firstLine="640" w:firstLineChars="200"/>
        <w:jc w:val="left"/>
        <w:rPr>
          <w:rFonts w:ascii="仿宋_GB2312" w:hAnsi="宋体" w:eastAsia="仿宋_GB2312" w:cs="宋体"/>
          <w:color w:val="000000"/>
          <w:kern w:val="0"/>
          <w:sz w:val="32"/>
          <w:szCs w:val="30"/>
        </w:rPr>
      </w:pPr>
      <w:bookmarkStart w:id="0" w:name="_Hlk63757961"/>
      <w:r>
        <w:rPr>
          <w:rFonts w:hint="eastAsia" w:ascii="仿宋_GB2312" w:hAnsi="宋体" w:eastAsia="仿宋_GB2312" w:cs="宋体"/>
          <w:color w:val="000000"/>
          <w:kern w:val="0"/>
          <w:sz w:val="32"/>
          <w:szCs w:val="30"/>
        </w:rPr>
        <w:t>社会保障和就业支出57.81万元</w:t>
      </w:r>
      <w:bookmarkEnd w:id="0"/>
      <w:r>
        <w:rPr>
          <w:rFonts w:hint="eastAsia" w:ascii="仿宋_GB2312" w:hAnsi="宋体" w:eastAsia="仿宋_GB2312" w:cs="宋体"/>
          <w:color w:val="000000"/>
          <w:kern w:val="0"/>
          <w:sz w:val="32"/>
          <w:szCs w:val="30"/>
        </w:rPr>
        <w:t>，占13.97</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卫生健康支出12.33万元，占2.97</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交通运输支出320.39万元，</w:t>
      </w:r>
      <w:bookmarkStart w:id="1" w:name="_Hlk63757301"/>
      <w:r>
        <w:rPr>
          <w:rFonts w:hint="eastAsia" w:ascii="仿宋_GB2312" w:hAnsi="宋体" w:eastAsia="仿宋_GB2312" w:cs="宋体"/>
          <w:color w:val="000000"/>
          <w:kern w:val="0"/>
          <w:sz w:val="32"/>
          <w:szCs w:val="30"/>
        </w:rPr>
        <w:t>占77.43</w:t>
      </w:r>
      <w:r>
        <w:rPr>
          <w:rFonts w:ascii="仿宋_GB2312" w:hAnsi="宋体" w:eastAsia="仿宋_GB2312" w:cs="宋体"/>
          <w:color w:val="000000"/>
          <w:kern w:val="0"/>
          <w:sz w:val="32"/>
          <w:szCs w:val="30"/>
        </w:rPr>
        <w:t>%</w:t>
      </w:r>
      <w:bookmarkEnd w:id="1"/>
      <w:r>
        <w:rPr>
          <w:rFonts w:hint="eastAsia" w:ascii="仿宋_GB2312" w:hAnsi="宋体" w:eastAsia="仿宋_GB2312" w:cs="宋体"/>
          <w:color w:val="000000"/>
          <w:kern w:val="0"/>
          <w:sz w:val="32"/>
          <w:szCs w:val="30"/>
        </w:rPr>
        <w:t>；住房保障支出23.23万元占5.61</w:t>
      </w:r>
      <w:r>
        <w:rPr>
          <w:rFonts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rPr>
        <w:t>。</w:t>
      </w:r>
    </w:p>
    <w:p>
      <w:pPr>
        <w:ind w:firstLine="640"/>
        <w:jc w:val="left"/>
        <w:rPr>
          <w:rFonts w:ascii="黑体" w:hAnsi="黑体" w:eastAsia="黑体"/>
          <w:sz w:val="32"/>
          <w:szCs w:val="32"/>
        </w:rPr>
      </w:pPr>
      <w:r>
        <w:rPr>
          <w:rFonts w:hint="eastAsia" w:ascii="黑体" w:hAnsi="黑体" w:eastAsia="黑体"/>
          <w:sz w:val="32"/>
          <w:szCs w:val="32"/>
        </w:rPr>
        <w:t>（三）一般公共预算当年拨款具体使用情况</w:t>
      </w:r>
    </w:p>
    <w:p>
      <w:pPr>
        <w:ind w:firstLine="640" w:firstLineChars="200"/>
        <w:jc w:val="left"/>
        <w:rPr>
          <w:rFonts w:ascii="仿宋_GB2312" w:hAnsi="宋体" w:eastAsia="仿宋_GB2312" w:cs="宋体"/>
          <w:color w:val="000000"/>
          <w:kern w:val="0"/>
          <w:sz w:val="32"/>
          <w:szCs w:val="30"/>
        </w:rPr>
      </w:pPr>
      <w:bookmarkStart w:id="2" w:name="_Hlk63758086"/>
      <w:r>
        <w:rPr>
          <w:rFonts w:hint="eastAsia" w:ascii="仿宋_GB2312" w:hAnsi="宋体" w:eastAsia="仿宋_GB2312" w:cs="宋体"/>
          <w:color w:val="000000"/>
          <w:kern w:val="0"/>
          <w:sz w:val="32"/>
          <w:szCs w:val="30"/>
        </w:rPr>
        <w:t>1.社会保障和就业支出（类）行政事业单位养老支出（款）机关事业单位基本养老保险缴费支出（项）2024年预算数为27.39万元，比上年预算数24.97万元增加2.42万元，主要原因是养老保险缴费基数提高。</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000000"/>
          <w:kern w:val="0"/>
          <w:sz w:val="32"/>
          <w:szCs w:val="30"/>
        </w:rPr>
        <w:t>2. 社会保障和就业支出（类）行政事业单位养老支出（款）机关事业单位职业年金缴费支出（项）2024年预算数30.42万元，比上年预算数22.67万元增加7.75万元，</w:t>
      </w:r>
      <w:r>
        <w:rPr>
          <w:rFonts w:hint="eastAsia" w:ascii="仿宋_GB2312" w:hAnsi="宋体" w:eastAsia="仿宋_GB2312" w:cs="宋体"/>
          <w:color w:val="auto"/>
          <w:kern w:val="0"/>
          <w:sz w:val="32"/>
          <w:szCs w:val="30"/>
        </w:rPr>
        <w:t>主要原因</w:t>
      </w:r>
      <w:r>
        <w:rPr>
          <w:rFonts w:hint="eastAsia" w:ascii="仿宋_GB2312" w:hAnsi="宋体" w:eastAsia="仿宋_GB2312" w:cs="宋体"/>
          <w:color w:val="auto"/>
          <w:kern w:val="0"/>
          <w:sz w:val="32"/>
          <w:szCs w:val="30"/>
          <w:lang w:eastAsia="zh-CN"/>
        </w:rPr>
        <w:t>是</w:t>
      </w:r>
      <w:r>
        <w:rPr>
          <w:rFonts w:hint="eastAsia" w:ascii="仿宋_GB2312" w:hAnsi="宋体" w:eastAsia="仿宋_GB2312" w:cs="宋体"/>
          <w:color w:val="auto"/>
          <w:kern w:val="0"/>
          <w:sz w:val="32"/>
          <w:szCs w:val="30"/>
          <w:lang w:val="en-US" w:eastAsia="zh-CN"/>
        </w:rPr>
        <w:t>2024年需补记实2019年至2021年单位部分职业年金，2021年我单位接收划转人员13人，</w:t>
      </w:r>
      <w:r>
        <w:rPr>
          <w:rFonts w:hint="eastAsia" w:ascii="仿宋_GB2312" w:hAnsi="宋体" w:eastAsia="仿宋_GB2312" w:cs="宋体"/>
          <w:color w:val="auto"/>
          <w:kern w:val="0"/>
          <w:sz w:val="32"/>
          <w:szCs w:val="30"/>
          <w:lang w:eastAsia="zh-CN"/>
        </w:rPr>
        <w:t>相应增加</w:t>
      </w:r>
      <w:r>
        <w:rPr>
          <w:rFonts w:hint="eastAsia" w:ascii="仿宋_GB2312" w:hAnsi="宋体" w:eastAsia="仿宋_GB2312" w:cs="宋体"/>
          <w:color w:val="auto"/>
          <w:kern w:val="0"/>
          <w:sz w:val="32"/>
          <w:szCs w:val="30"/>
          <w:lang w:val="en-US" w:eastAsia="zh-CN"/>
        </w:rPr>
        <w:t>13人的</w:t>
      </w:r>
      <w:r>
        <w:rPr>
          <w:rFonts w:hint="eastAsia" w:ascii="仿宋_GB2312" w:hAnsi="宋体" w:eastAsia="仿宋_GB2312" w:cs="宋体"/>
          <w:color w:val="auto"/>
          <w:kern w:val="0"/>
          <w:sz w:val="32"/>
          <w:szCs w:val="30"/>
        </w:rPr>
        <w:t>补缴</w:t>
      </w:r>
      <w:r>
        <w:rPr>
          <w:rFonts w:hint="eastAsia" w:ascii="仿宋_GB2312" w:hAnsi="宋体" w:eastAsia="仿宋_GB2312" w:cs="宋体"/>
          <w:color w:val="auto"/>
          <w:kern w:val="0"/>
          <w:sz w:val="32"/>
          <w:szCs w:val="30"/>
          <w:lang w:eastAsia="zh-CN"/>
        </w:rPr>
        <w:t>金额</w:t>
      </w:r>
      <w:r>
        <w:rPr>
          <w:rFonts w:hint="eastAsia" w:ascii="仿宋_GB2312" w:hAnsi="宋体" w:eastAsia="仿宋_GB2312" w:cs="宋体"/>
          <w:color w:val="auto"/>
          <w:kern w:val="0"/>
          <w:sz w:val="32"/>
          <w:szCs w:val="30"/>
        </w:rPr>
        <w:t>。</w:t>
      </w:r>
    </w:p>
    <w:p>
      <w:pPr>
        <w:ind w:firstLine="640"/>
        <w:rPr>
          <w:rFonts w:hint="eastAsia" w:ascii="仿宋_GB2312" w:hAnsi="宋体" w:eastAsia="仿宋_GB2312" w:cs="宋体"/>
          <w:color w:val="000000"/>
          <w:kern w:val="0"/>
          <w:sz w:val="32"/>
          <w:szCs w:val="30"/>
        </w:rPr>
      </w:pPr>
      <w:r>
        <w:rPr>
          <w:rFonts w:hint="eastAsia" w:ascii="仿宋_GB2312" w:hAnsi="仿宋_GB2312" w:eastAsia="仿宋_GB2312" w:cs="仿宋_GB2312"/>
          <w:sz w:val="32"/>
          <w:szCs w:val="32"/>
        </w:rPr>
        <w:t>3.卫生健康支出（类）行政事业单位医疗（款）单位医疗（项） 2024年预算数为12.33万元,</w:t>
      </w:r>
      <w:r>
        <w:rPr>
          <w:rFonts w:hint="eastAsia" w:ascii="仿宋_GB2312" w:hAnsi="仿宋_GB2312" w:eastAsia="仿宋_GB2312" w:cs="仿宋_GB2312"/>
          <w:color w:val="auto"/>
          <w:sz w:val="32"/>
          <w:szCs w:val="32"/>
        </w:rPr>
        <w:t>比上年预算数11.04万元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1.29万元，</w:t>
      </w:r>
      <w:r>
        <w:rPr>
          <w:rFonts w:hint="eastAsia" w:ascii="仿宋_GB2312" w:hAnsi="宋体" w:eastAsia="仿宋_GB2312" w:cs="宋体"/>
          <w:color w:val="000000"/>
          <w:kern w:val="0"/>
          <w:sz w:val="32"/>
          <w:szCs w:val="30"/>
        </w:rPr>
        <w:t>主要原因是</w:t>
      </w:r>
      <w:r>
        <w:rPr>
          <w:rFonts w:hint="eastAsia" w:ascii="仿宋_GB2312" w:hAnsi="宋体" w:eastAsia="仿宋_GB2312" w:cs="宋体"/>
          <w:color w:val="000000"/>
          <w:kern w:val="0"/>
          <w:sz w:val="32"/>
          <w:szCs w:val="30"/>
          <w:lang w:val="en-US" w:eastAsia="zh-CN"/>
        </w:rPr>
        <w:t>社</w:t>
      </w:r>
      <w:r>
        <w:rPr>
          <w:rFonts w:hint="eastAsia" w:ascii="仿宋_GB2312" w:hAnsi="宋体" w:eastAsia="仿宋_GB2312" w:cs="宋体"/>
          <w:color w:val="000000"/>
          <w:kern w:val="0"/>
          <w:sz w:val="32"/>
          <w:szCs w:val="30"/>
        </w:rPr>
        <w:t xml:space="preserve">保缴费基数提高。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交通运输支出（类）公路水路运输（款）航道维护（项）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4年预算数为63.38元，比上年预算数75.75万元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12.37万元，主要</w:t>
      </w:r>
      <w:r>
        <w:rPr>
          <w:rFonts w:hint="eastAsia" w:ascii="仿宋_GB2312" w:hAnsi="仿宋_GB2312" w:eastAsia="仿宋_GB2312" w:cs="仿宋_GB2312"/>
          <w:sz w:val="32"/>
          <w:szCs w:val="32"/>
          <w:lang w:val="en-US" w:eastAsia="zh-CN"/>
        </w:rPr>
        <w:t>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项目支出预算经费减少</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5.交通运输支出（类）公路水路运输（款）其他公路水路运输支出（项）2024年预算数为257.01万元，比上年预算218.81万元增加38.20万元。主要原因是</w:t>
      </w:r>
      <w:r>
        <w:rPr>
          <w:rFonts w:hint="eastAsia" w:ascii="仿宋_GB2312" w:hAnsi="仿宋_GB2312" w:eastAsia="仿宋_GB2312" w:cs="仿宋_GB2312"/>
          <w:sz w:val="32"/>
          <w:szCs w:val="32"/>
          <w:lang w:val="en-US" w:eastAsia="zh-CN"/>
        </w:rPr>
        <w:t>基本支出预算</w:t>
      </w:r>
      <w:r>
        <w:rPr>
          <w:rFonts w:hint="eastAsia" w:ascii="仿宋_GB2312" w:hAnsi="仿宋_GB2312" w:eastAsia="仿宋_GB2312" w:cs="仿宋_GB2312"/>
          <w:sz w:val="32"/>
          <w:szCs w:val="32"/>
        </w:rPr>
        <w:t>人员经费增加。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住房保障支出（类）住房改革支出（款）住房公积金（项）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4年预算数为23.23万元，</w:t>
      </w:r>
      <w:bookmarkEnd w:id="2"/>
      <w:r>
        <w:rPr>
          <w:rFonts w:hint="eastAsia" w:ascii="仿宋_GB2312" w:hAnsi="仿宋_GB2312" w:eastAsia="仿宋_GB2312" w:cs="仿宋_GB2312"/>
          <w:sz w:val="32"/>
          <w:szCs w:val="32"/>
        </w:rPr>
        <w:t>比上年预算数21.41万元增加1.82万</w:t>
      </w:r>
      <w:r>
        <w:rPr>
          <w:rFonts w:hint="eastAsia" w:ascii="仿宋_GB2312" w:hAnsi="黑体" w:eastAsia="仿宋_GB2312"/>
          <w:sz w:val="32"/>
          <w:szCs w:val="32"/>
        </w:rPr>
        <w:t>元，主要是</w:t>
      </w:r>
      <w:r>
        <w:rPr>
          <w:rFonts w:hint="eastAsia" w:ascii="仿宋_GB2312" w:hAnsi="仿宋_GB2312" w:eastAsia="仿宋_GB2312" w:cs="仿宋_GB2312"/>
          <w:sz w:val="32"/>
          <w:szCs w:val="32"/>
        </w:rPr>
        <w:t>住房公积金缴费基数</w:t>
      </w:r>
      <w:r>
        <w:rPr>
          <w:rFonts w:hint="eastAsia" w:ascii="仿宋_GB2312" w:hAnsi="仿宋_GB2312" w:eastAsia="仿宋_GB2312" w:cs="仿宋_GB2312"/>
          <w:sz w:val="32"/>
          <w:szCs w:val="32"/>
          <w:lang w:val="en-US" w:eastAsia="zh-CN"/>
        </w:rPr>
        <w:t>提高</w:t>
      </w:r>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三、关于海南省马村航道所</w:t>
      </w:r>
      <w:r>
        <w:rPr>
          <w:rFonts w:hint="eastAsia" w:ascii="仿宋_GB2312" w:hAnsi="黑体" w:eastAsia="仿宋_GB2312" w:cs="仿宋_GB2312"/>
          <w:sz w:val="32"/>
          <w:szCs w:val="32"/>
        </w:rPr>
        <w:t>2024</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海南省马村航道所2024年一般公共预算基本支出为350.38万元，其中：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320.30万元，主要包括：基本工资、津贴补贴、奖金、其他社会保障缴费、绩效工资、机关事业单位基本养老保险缴费、职业年金缴费、城镇职工基本医疗保险缴费、住房公积金、医疗费、其他工资福利支出、生活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30.08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海南省马村航道所</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黑体" w:hAnsi="黑体" w:eastAsia="黑体" w:cs="Times New Roman"/>
          <w:sz w:val="32"/>
          <w:szCs w:val="32"/>
        </w:rPr>
      </w:pPr>
      <w:r>
        <w:rPr>
          <w:rFonts w:hint="eastAsia" w:ascii="黑体" w:hAnsi="黑体" w:eastAsia="黑体"/>
          <w:sz w:val="32"/>
          <w:szCs w:val="32"/>
        </w:rPr>
        <w:t>（一）海南省马村航道所</w:t>
      </w:r>
      <w:r>
        <w:rPr>
          <w:rFonts w:ascii="黑体" w:hAnsi="黑体" w:eastAsia="黑体"/>
          <w:sz w:val="32"/>
          <w:szCs w:val="32"/>
        </w:rPr>
        <w:t>202</w:t>
      </w:r>
      <w:r>
        <w:rPr>
          <w:rFonts w:hint="eastAsia" w:ascii="黑体" w:hAnsi="黑体" w:eastAsia="黑体"/>
          <w:sz w:val="32"/>
          <w:szCs w:val="32"/>
        </w:rPr>
        <w:t>4</w:t>
      </w:r>
      <w:r>
        <w:rPr>
          <w:rFonts w:ascii="黑体" w:hAnsi="黑体" w:eastAsia="黑体" w:cs="Times New Roman"/>
          <w:sz w:val="32"/>
          <w:shd w:val="clear" w:color="auto" w:fill="FFFFFF"/>
        </w:rPr>
        <w:t>年</w:t>
      </w:r>
      <w:r>
        <w:rPr>
          <w:rFonts w:hint="eastAsia" w:ascii="黑体" w:hAnsi="黑体" w:eastAsia="黑体"/>
          <w:sz w:val="32"/>
          <w:szCs w:val="32"/>
        </w:rPr>
        <w:t>一般公共预算“三公”经费预算数为</w:t>
      </w:r>
      <w:r>
        <w:rPr>
          <w:rFonts w:hint="eastAsia" w:ascii="黑体" w:hAnsi="黑体" w:eastAsia="黑体" w:cs="仿宋_GB2312"/>
          <w:sz w:val="32"/>
          <w:szCs w:val="32"/>
        </w:rPr>
        <w:t>2.55</w:t>
      </w:r>
      <w:r>
        <w:rPr>
          <w:rFonts w:hint="eastAsia" w:ascii="黑体" w:hAnsi="黑体" w:eastAsia="黑体"/>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单位年度工作</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（二）海南省马村航道所2024年政府性基金预算“三公”经费预算数为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海南省马村航道2024年</w:t>
      </w:r>
      <w:r>
        <w:rPr>
          <w:rFonts w:hint="eastAsia" w:ascii="仿宋_GB2312" w:hAnsi="仿宋_GB2312" w:eastAsia="仿宋_GB2312" w:cs="仿宋_GB2312"/>
          <w:sz w:val="32"/>
          <w:szCs w:val="32"/>
        </w:rPr>
        <w:t>无</w:t>
      </w:r>
      <w:r>
        <w:rPr>
          <w:rFonts w:hint="eastAsia" w:ascii="仿宋_GB2312" w:hAnsi="仿宋_GB2312" w:eastAsia="仿宋_GB2312"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海南省马村航道所2024年无</w:t>
      </w:r>
      <w:r>
        <w:rPr>
          <w:rFonts w:hint="eastAsia" w:ascii="仿宋_GB2312" w:hAnsi="仿宋_GB2312" w:eastAsia="仿宋_GB2312" w:cs="仿宋_GB2312"/>
          <w:sz w:val="32"/>
          <w:shd w:val="clear" w:color="auto" w:fill="FFFFFF"/>
        </w:rPr>
        <w:t>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海南省马村航道2024年无</w:t>
      </w:r>
      <w:r>
        <w:rPr>
          <w:rFonts w:hint="eastAsia" w:ascii="仿宋_GB2312" w:hAnsi="仿宋_GB2312" w:eastAsia="仿宋_GB2312" w:cs="仿宋_GB2312"/>
          <w:sz w:val="32"/>
          <w:shd w:val="clear" w:color="auto" w:fill="FFFFFF"/>
        </w:rPr>
        <w:t>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教育支出、社会保障和就业支出、卫生健康支出、交通运输支出、住房保障支出。</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收支总预算413.76万元。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收入预算413.76万元，其中：上年结转结余0万元，占0</w:t>
      </w:r>
      <w:r>
        <w:rPr>
          <w:rFonts w:ascii="仿宋_GB2312" w:hAnsi="仿宋_GB2312" w:eastAsia="仿宋_GB2312" w:cs="仿宋_GB2312"/>
          <w:sz w:val="32"/>
          <w:szCs w:val="32"/>
        </w:rPr>
        <w:t>%；经费拨款收入</w:t>
      </w:r>
      <w:r>
        <w:rPr>
          <w:rFonts w:hint="eastAsia" w:ascii="仿宋_GB2312" w:hAnsi="仿宋_GB2312" w:eastAsia="仿宋_GB2312" w:cs="仿宋_GB2312"/>
          <w:sz w:val="32"/>
          <w:szCs w:val="32"/>
        </w:rPr>
        <w:t>413.76万元，占100</w:t>
      </w:r>
      <w:r>
        <w:rPr>
          <w:rFonts w:ascii="仿宋_GB2312" w:hAnsi="仿宋_GB2312" w:eastAsia="仿宋_GB2312" w:cs="仿宋_GB2312"/>
          <w:sz w:val="32"/>
          <w:szCs w:val="32"/>
        </w:rPr>
        <w:t>%；政府性基金收入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%；专项收入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%。比上年预算数</w:t>
      </w:r>
      <w:r>
        <w:rPr>
          <w:rFonts w:hint="eastAsia" w:ascii="仿宋_GB2312" w:hAnsi="仿宋_GB2312" w:eastAsia="仿宋_GB2312" w:cs="仿宋_GB2312"/>
          <w:sz w:val="32"/>
          <w:szCs w:val="32"/>
        </w:rPr>
        <w:t>396.18万元增加17.58万元，</w:t>
      </w:r>
      <w:r>
        <w:rPr>
          <w:rFonts w:hint="eastAsia" w:ascii="仿宋_GB2312" w:hAnsi="仿宋_GB2312" w:eastAsia="仿宋_GB2312" w:cs="仿宋_GB2312"/>
          <w:sz w:val="32"/>
          <w:lang w:val="en-US" w:eastAsia="zh-CN"/>
        </w:rPr>
        <w:t>主要原因是基本支出预算人员经费增加</w:t>
      </w:r>
      <w:r>
        <w:rPr>
          <w:rFonts w:hint="eastAsia" w:ascii="仿宋_GB2312" w:hAnsi="仿宋_GB2312" w:eastAsia="仿宋_GB2312" w:cs="仿宋_GB2312"/>
          <w:sz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海南省马村航道所</w:t>
      </w:r>
      <w:r>
        <w:rPr>
          <w:rFonts w:hint="eastAsia" w:ascii="仿宋_GB2312" w:hAnsi="黑体" w:eastAsia="仿宋_GB2312" w:cs="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海南省马村航道所</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支出预算413.76万元，其中：基本支出350.38万元，占84.68%；项目支出63.38万元，占15.31%。</w:t>
      </w:r>
      <w:r>
        <w:rPr>
          <w:rFonts w:ascii="仿宋_GB2312" w:hAnsi="仿宋_GB2312" w:eastAsia="仿宋_GB2312" w:cs="仿宋_GB2312"/>
          <w:sz w:val="32"/>
          <w:szCs w:val="32"/>
        </w:rPr>
        <w:t>比上年预算数</w:t>
      </w:r>
      <w:r>
        <w:rPr>
          <w:rFonts w:hint="eastAsia" w:ascii="仿宋_GB2312" w:hAnsi="仿宋_GB2312" w:eastAsia="仿宋_GB2312" w:cs="仿宋_GB2312"/>
          <w:sz w:val="32"/>
          <w:szCs w:val="32"/>
        </w:rPr>
        <w:t>396.18万元增加17.58万元，</w:t>
      </w:r>
      <w:r>
        <w:rPr>
          <w:rFonts w:hint="eastAsia" w:ascii="仿宋_GB2312" w:hAnsi="仿宋_GB2312" w:eastAsia="仿宋_GB2312" w:cs="仿宋_GB2312"/>
          <w:sz w:val="32"/>
          <w:lang w:val="en-US" w:eastAsia="zh-CN"/>
        </w:rPr>
        <w:t>主要原因是基本支出预算人员经费增加</w:t>
      </w:r>
      <w:r>
        <w:rPr>
          <w:rFonts w:hint="eastAsia" w:ascii="仿宋_GB2312" w:hAnsi="仿宋_GB2312" w:eastAsia="仿宋_GB2312" w:cs="仿宋_GB2312"/>
          <w:sz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年海南省马村航道所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年12月31日，海南省马村航道所共</w:t>
      </w:r>
      <w:r>
        <w:rPr>
          <w:rFonts w:hint="eastAsia" w:ascii="仿宋_GB2312" w:hAnsi="黑体" w:eastAsia="仿宋_GB2312" w:cs="仿宋_GB2312"/>
          <w:sz w:val="32"/>
          <w:szCs w:val="32"/>
        </w:rPr>
        <w:t>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马村所11项目实行绩效目标管理，涉及一般公共预算413.76</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其中，</w:t>
      </w:r>
      <w:r>
        <w:rPr>
          <w:rFonts w:hint="eastAsia" w:ascii="仿宋_GB2312" w:hAnsi="黑体" w:eastAsia="仿宋_GB2312" w:cs="仿宋_GB2312"/>
          <w:sz w:val="32"/>
          <w:szCs w:val="32"/>
          <w:lang w:val="en-US" w:eastAsia="zh-CN"/>
        </w:rPr>
        <w:t>重点</w:t>
      </w:r>
      <w:r>
        <w:rPr>
          <w:rFonts w:hint="eastAsia" w:ascii="仿宋_GB2312" w:hAnsi="黑体" w:eastAsia="仿宋_GB2312" w:cs="仿宋_GB2312"/>
          <w:sz w:val="32"/>
          <w:szCs w:val="32"/>
        </w:rPr>
        <w:t>项目预算绩效情况：</w:t>
      </w:r>
    </w:p>
    <w:p>
      <w:pPr>
        <w:rPr>
          <w:rFonts w:ascii="仿宋_GB2312" w:hAnsi="仿宋_GB2312" w:eastAsia="仿宋_GB2312" w:cs="仿宋_GB2312"/>
          <w:sz w:val="32"/>
          <w:szCs w:val="32"/>
        </w:rPr>
      </w:pPr>
      <w:r>
        <w:rPr>
          <w:rFonts w:hint="eastAsia" w:ascii="仿宋_GB2312" w:hAnsi="黑体" w:eastAsia="仿宋_GB2312" w:cs="仿宋_GB2312"/>
          <w:sz w:val="32"/>
          <w:szCs w:val="32"/>
        </w:rPr>
        <w:t>水路日常养护项目，预算安排63.38万元，主要用于日常维护航标6座二级灯桩、3座为水上浮标；航道保护里程92.5公里（沿海航道20公里、</w:t>
      </w:r>
      <w:r>
        <w:rPr>
          <w:rFonts w:hint="eastAsia" w:ascii="仿宋_GB2312" w:hAnsi="黑体" w:eastAsia="仿宋_GB2312" w:cs="仿宋_GB2312"/>
          <w:bCs/>
          <w:sz w:val="32"/>
          <w:szCs w:val="32"/>
        </w:rPr>
        <w:t>内河航道72.5公里</w:t>
      </w:r>
      <w:r>
        <w:rPr>
          <w:rFonts w:hint="eastAsia" w:ascii="仿宋_GB2312" w:hAnsi="黑体" w:eastAsia="仿宋_GB2312" w:cs="仿宋_GB2312"/>
          <w:sz w:val="32"/>
          <w:szCs w:val="32"/>
        </w:rPr>
        <w:t>），绩效目标是</w:t>
      </w:r>
      <w:r>
        <w:rPr>
          <w:rFonts w:hint="eastAsia" w:ascii="仿宋_GB2312" w:hAnsi="仿宋_GB2312" w:eastAsia="仿宋_GB2312" w:cs="仿宋_GB2312"/>
          <w:sz w:val="32"/>
          <w:szCs w:val="32"/>
        </w:rPr>
        <w:t>符合航标养护维护标准和《内河航道维护技术规范》，</w:t>
      </w:r>
      <w:r>
        <w:rPr>
          <w:rFonts w:hint="eastAsia" w:ascii="仿宋_GB2312" w:hAnsi="仿宋_GB2312" w:eastAsia="仿宋_GB2312" w:cs="仿宋_GB2312"/>
          <w:sz w:val="32"/>
        </w:rPr>
        <w:t xml:space="preserve">开展航道保护，航标养护及时掌握辖区航道、航标维护状况，消除安全隐患，改善通航条件，提高企业生产效率，确保航道安全、畅通，保障区域航运船舶安全。 </w:t>
      </w:r>
    </w:p>
    <w:p>
      <w:pPr>
        <w:ind w:firstLine="640" w:firstLineChars="200"/>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九、交通运输支出（类）公路水路运输（款）航道维护（项）：反映内河航道整治、维护方面的支出。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十、交通运输支出（类）公路水路运输（款）其他公路水路运输支出（项）：反映除上述项目以外其他用于公路水路运输方面的支出。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十一、</w:t>
      </w:r>
      <w:r>
        <w:rPr>
          <w:rFonts w:hint="eastAsia" w:ascii="仿宋_GB2312" w:hAnsi="宋体" w:eastAsia="仿宋_GB2312" w:cs="宋体"/>
          <w:color w:val="000000"/>
          <w:kern w:val="0"/>
          <w:sz w:val="32"/>
          <w:szCs w:val="30"/>
        </w:rPr>
        <w:t>交通运输支出（类）其他交通运输支出（款）其他交通运输支出（项）：反映其他交通运输支出中除对公共交通运营补助以外的其他支出。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十三、社会保障和就业支出（类）行政事业单位养老支出（款）机关事业单位职业年金缴费支出（项）：反映机关事业单位实施养老保险制度由单位实际缴纳的职业年金支出。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十五、住房保障支出（类）住房改革支出（款）住房公积金（项）：反映行政事业单位按人力资源和社会保障部、财政部规定的基本工资和津贴补贴以及规定比例为职工缴纳的住房公积金。</w:t>
      </w:r>
    </w:p>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国标仿宋">
    <w:altName w:val="仿宋"/>
    <w:panose1 w:val="020005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zh-CN"/>
      </w:rPr>
      <w:t>12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08310809">
    <w:nsid w:val="65D2C119"/>
    <w:multiLevelType w:val="singleLevel"/>
    <w:tmpl w:val="65D2C119"/>
    <w:lvl w:ilvl="0" w:tentative="1">
      <w:start w:val="2"/>
      <w:numFmt w:val="chineseCounting"/>
      <w:suff w:val="nothing"/>
      <w:lvlText w:val="%1、"/>
      <w:lvlJc w:val="left"/>
    </w:lvl>
  </w:abstractNum>
  <w:num w:numId="1">
    <w:abstractNumId w:val="92482439"/>
  </w:num>
  <w:num w:numId="2">
    <w:abstractNumId w:val="1516312359"/>
  </w:num>
  <w:num w:numId="3">
    <w:abstractNumId w:val="1893038598"/>
  </w:num>
  <w:num w:numId="4">
    <w:abstractNumId w:val="17083108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jEwMGI0MDliMGUzMzc0YmJjYWYxY2U3NzUyMjE1OT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34"/>
    <w:pPr>
      <w:ind w:firstLine="420" w:firstLineChars="200"/>
    </w:pPr>
  </w:style>
  <w:style w:type="character" w:customStyle="1" w:styleId="6">
    <w:name w:val="页脚 Char"/>
    <w:basedOn w:val="4"/>
    <w:link w:val="2"/>
    <w:qFormat/>
    <w:uiPriority w:val="99"/>
    <w:rPr>
      <w:rFonts w:ascii="Calibri" w:hAnsi="Calibri" w:eastAsia="宋体" w:cs="黑体"/>
      <w:sz w:val="18"/>
      <w:szCs w:val="18"/>
    </w:rPr>
  </w:style>
  <w:style w:type="character" w:customStyle="1" w:styleId="7">
    <w:name w:val="页眉 Char"/>
    <w:basedOn w:val="4"/>
    <w:link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713</Words>
  <Characters>4067</Characters>
  <Lines>33</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2024-02-02T11:44:00Z</dcterms:created>
  <dc:creator>海南省港航管理局本级</dc:creator>
  <cp:lastModifiedBy>未定义</cp:lastModifiedBy>
  <dcterms:modified xsi:type="dcterms:W3CDTF">2024-02-19T03:02:25Z</dcterms:modified>
  <dc:title>2024年海南省马村航道所单位预算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972B39089CE74203B9003580BFCE4B51_12</vt:lpwstr>
  </property>
</Properties>
</file>