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华文仿宋" w:hAnsi="华文仿宋" w:eastAsia="宋体"/>
          <w:szCs w:val="21"/>
          <w:lang w:val="en-US" w:eastAsia="zh-CN"/>
        </w:rPr>
      </w:pPr>
      <w:r>
        <w:rPr>
          <w:rFonts w:hint="eastAsia"/>
          <w:szCs w:val="21"/>
        </w:rPr>
        <w:t>附件</w:t>
      </w:r>
      <w:r>
        <w:rPr>
          <w:rFonts w:hint="eastAsia"/>
          <w:szCs w:val="21"/>
          <w:lang w:val="en-US" w:eastAsia="zh-CN"/>
        </w:rPr>
        <w:t>2</w:t>
      </w:r>
    </w:p>
    <w:p>
      <w:pPr>
        <w:jc w:val="center"/>
        <w:rPr>
          <w:b/>
          <w:sz w:val="32"/>
          <w:szCs w:val="32"/>
        </w:rPr>
      </w:pPr>
      <w:r>
        <w:rPr>
          <w:rFonts w:hint="eastAsia"/>
          <w:b/>
          <w:sz w:val="32"/>
          <w:szCs w:val="32"/>
        </w:rPr>
        <w:t>汽油经营企业随机抽查情况反馈表</w:t>
      </w:r>
    </w:p>
    <w:p>
      <w:pPr>
        <w:rPr>
          <w:rFonts w:ascii="仿宋" w:hAnsi="仿宋" w:eastAsia="仿宋"/>
        </w:rPr>
      </w:pPr>
      <w:r>
        <w:rPr>
          <w:rFonts w:hint="eastAsia" w:ascii="仿宋" w:hAnsi="仿宋" w:eastAsia="仿宋"/>
        </w:rPr>
        <w:t>被抽查人（市场主体）：</w:t>
      </w:r>
      <w:r>
        <w:rPr>
          <w:rFonts w:ascii="仿宋" w:hAnsi="仿宋" w:eastAsia="仿宋"/>
        </w:rPr>
        <w:t xml:space="preserve">                                                                                </w:t>
      </w:r>
      <w:r>
        <w:rPr>
          <w:rFonts w:hint="eastAsia" w:ascii="仿宋" w:hAnsi="仿宋" w:eastAsia="仿宋"/>
        </w:rPr>
        <w:t>抽查时间：</w:t>
      </w:r>
      <w:r>
        <w:rPr>
          <w:rFonts w:ascii="仿宋" w:hAnsi="仿宋" w:eastAsia="仿宋"/>
        </w:rPr>
        <w:t xml:space="preserve">    </w:t>
      </w:r>
      <w:r>
        <w:rPr>
          <w:rFonts w:hint="eastAsia" w:ascii="仿宋" w:hAnsi="仿宋" w:eastAsia="仿宋"/>
        </w:rPr>
        <w:t>年</w:t>
      </w:r>
      <w:r>
        <w:rPr>
          <w:rFonts w:ascii="仿宋" w:hAnsi="仿宋" w:eastAsia="仿宋"/>
        </w:rPr>
        <w:t xml:space="preserve">  </w:t>
      </w:r>
      <w:r>
        <w:rPr>
          <w:rFonts w:hint="eastAsia" w:ascii="仿宋" w:hAnsi="仿宋" w:eastAsia="仿宋"/>
          <w:lang w:val="en-US" w:eastAsia="zh-CN"/>
        </w:rPr>
        <w:t xml:space="preserve"> </w:t>
      </w:r>
      <w:r>
        <w:rPr>
          <w:rFonts w:ascii="仿宋" w:hAnsi="仿宋" w:eastAsia="仿宋"/>
        </w:rPr>
        <w:t xml:space="preserve"> </w:t>
      </w:r>
      <w:r>
        <w:rPr>
          <w:rFonts w:hint="eastAsia" w:ascii="仿宋" w:hAnsi="仿宋" w:eastAsia="仿宋"/>
        </w:rPr>
        <w:t>月</w:t>
      </w:r>
      <w:r>
        <w:rPr>
          <w:rFonts w:ascii="仿宋" w:hAnsi="仿宋" w:eastAsia="仿宋"/>
        </w:rPr>
        <w:t xml:space="preserve">    </w:t>
      </w:r>
      <w:r>
        <w:rPr>
          <w:rFonts w:hint="eastAsia" w:ascii="仿宋" w:hAnsi="仿宋" w:eastAsia="仿宋"/>
        </w:rPr>
        <w:t>日</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9"/>
        <w:gridCol w:w="1493"/>
        <w:gridCol w:w="3052"/>
        <w:gridCol w:w="1231"/>
        <w:gridCol w:w="3487"/>
        <w:gridCol w:w="2535"/>
        <w:gridCol w:w="960"/>
        <w:gridCol w:w="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509" w:type="dxa"/>
            <w:tcBorders>
              <w:top w:val="single" w:color="000000" w:sz="4" w:space="0"/>
              <w:left w:val="single" w:color="000000" w:sz="4" w:space="0"/>
              <w:bottom w:val="single" w:color="000000" w:sz="4" w:space="0"/>
              <w:right w:val="single" w:color="000000" w:sz="4" w:space="0"/>
            </w:tcBorders>
          </w:tcPr>
          <w:p>
            <w:pPr>
              <w:rPr>
                <w:b/>
                <w:sz w:val="24"/>
              </w:rPr>
            </w:pPr>
            <w:r>
              <w:rPr>
                <w:rFonts w:hint="eastAsia"/>
                <w:b/>
                <w:sz w:val="24"/>
              </w:rPr>
              <w:t>序号</w:t>
            </w:r>
          </w:p>
        </w:tc>
        <w:tc>
          <w:tcPr>
            <w:tcW w:w="1493" w:type="dxa"/>
            <w:tcBorders>
              <w:top w:val="single" w:color="000000" w:sz="4" w:space="0"/>
              <w:left w:val="single" w:color="000000" w:sz="4" w:space="0"/>
              <w:bottom w:val="single" w:color="000000" w:sz="4" w:space="0"/>
              <w:right w:val="single" w:color="000000" w:sz="4" w:space="0"/>
            </w:tcBorders>
            <w:vAlign w:val="center"/>
          </w:tcPr>
          <w:p>
            <w:pPr>
              <w:jc w:val="center"/>
              <w:rPr>
                <w:b/>
                <w:sz w:val="24"/>
              </w:rPr>
            </w:pPr>
            <w:r>
              <w:rPr>
                <w:rFonts w:hint="eastAsia"/>
                <w:b/>
                <w:sz w:val="24"/>
              </w:rPr>
              <w:t>抽查项目</w:t>
            </w:r>
          </w:p>
        </w:tc>
        <w:tc>
          <w:tcPr>
            <w:tcW w:w="3052" w:type="dxa"/>
            <w:tcBorders>
              <w:top w:val="single" w:color="000000" w:sz="4" w:space="0"/>
              <w:left w:val="single" w:color="000000" w:sz="4" w:space="0"/>
              <w:bottom w:val="single" w:color="000000" w:sz="4" w:space="0"/>
              <w:right w:val="single" w:color="000000" w:sz="4" w:space="0"/>
            </w:tcBorders>
            <w:vAlign w:val="center"/>
          </w:tcPr>
          <w:p>
            <w:pPr>
              <w:jc w:val="center"/>
              <w:rPr>
                <w:b/>
                <w:sz w:val="24"/>
              </w:rPr>
            </w:pPr>
            <w:r>
              <w:rPr>
                <w:rFonts w:hint="eastAsia"/>
                <w:b/>
                <w:sz w:val="24"/>
              </w:rPr>
              <w:t>抽查依据</w:t>
            </w:r>
          </w:p>
        </w:tc>
        <w:tc>
          <w:tcPr>
            <w:tcW w:w="1231"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eastAsia="宋体"/>
                <w:b/>
                <w:sz w:val="24"/>
                <w:lang w:eastAsia="zh-CN"/>
              </w:rPr>
            </w:pPr>
            <w:r>
              <w:rPr>
                <w:rFonts w:hint="eastAsia"/>
                <w:b/>
                <w:sz w:val="24"/>
              </w:rPr>
              <w:t>抽查</w:t>
            </w:r>
            <w:r>
              <w:rPr>
                <w:rFonts w:hint="eastAsia"/>
                <w:b/>
                <w:sz w:val="24"/>
                <w:lang w:val="en-US" w:eastAsia="zh-CN"/>
              </w:rPr>
              <w:t>对象</w:t>
            </w:r>
          </w:p>
          <w:p>
            <w:pPr>
              <w:jc w:val="center"/>
              <w:rPr>
                <w:b/>
                <w:sz w:val="24"/>
              </w:rPr>
            </w:pPr>
          </w:p>
        </w:tc>
        <w:tc>
          <w:tcPr>
            <w:tcW w:w="3487" w:type="dxa"/>
            <w:tcBorders>
              <w:top w:val="single" w:color="000000" w:sz="4" w:space="0"/>
              <w:left w:val="single" w:color="000000" w:sz="4" w:space="0"/>
              <w:bottom w:val="single" w:color="000000" w:sz="4" w:space="0"/>
              <w:right w:val="single" w:color="auto" w:sz="4" w:space="0"/>
            </w:tcBorders>
            <w:vAlign w:val="center"/>
          </w:tcPr>
          <w:p>
            <w:pPr>
              <w:jc w:val="center"/>
              <w:rPr>
                <w:b/>
                <w:sz w:val="24"/>
              </w:rPr>
            </w:pPr>
            <w:r>
              <w:rPr>
                <w:rFonts w:hint="eastAsia"/>
                <w:b/>
                <w:sz w:val="24"/>
              </w:rPr>
              <w:t>抽查内容</w:t>
            </w:r>
          </w:p>
        </w:tc>
        <w:tc>
          <w:tcPr>
            <w:tcW w:w="2535" w:type="dxa"/>
            <w:tcBorders>
              <w:top w:val="single" w:color="000000" w:sz="4" w:space="0"/>
              <w:left w:val="single" w:color="auto" w:sz="4" w:space="0"/>
              <w:bottom w:val="single" w:color="000000" w:sz="4" w:space="0"/>
              <w:right w:val="single" w:color="auto" w:sz="4" w:space="0"/>
            </w:tcBorders>
            <w:vAlign w:val="center"/>
          </w:tcPr>
          <w:p>
            <w:pPr>
              <w:jc w:val="center"/>
              <w:rPr>
                <w:b/>
                <w:sz w:val="24"/>
              </w:rPr>
            </w:pPr>
            <w:r>
              <w:rPr>
                <w:rFonts w:hint="eastAsia"/>
                <w:b/>
                <w:sz w:val="24"/>
              </w:rPr>
              <w:t>抽查情况</w:t>
            </w:r>
          </w:p>
        </w:tc>
        <w:tc>
          <w:tcPr>
            <w:tcW w:w="960" w:type="dxa"/>
            <w:tcBorders>
              <w:top w:val="single" w:color="000000" w:sz="4" w:space="0"/>
              <w:left w:val="single" w:color="auto" w:sz="4" w:space="0"/>
              <w:bottom w:val="single" w:color="000000" w:sz="4" w:space="0"/>
              <w:right w:val="single" w:color="auto" w:sz="4" w:space="0"/>
            </w:tcBorders>
            <w:vAlign w:val="center"/>
          </w:tcPr>
          <w:p>
            <w:pPr>
              <w:jc w:val="center"/>
              <w:rPr>
                <w:b/>
                <w:sz w:val="24"/>
              </w:rPr>
            </w:pPr>
            <w:r>
              <w:rPr>
                <w:rFonts w:hint="eastAsia"/>
                <w:b/>
                <w:sz w:val="24"/>
                <w:lang w:val="en-US" w:eastAsia="zh-CN"/>
              </w:rPr>
              <w:t>存在问题及</w:t>
            </w:r>
            <w:r>
              <w:rPr>
                <w:rFonts w:hint="eastAsia"/>
                <w:b/>
                <w:sz w:val="24"/>
              </w:rPr>
              <w:t>处理意见</w:t>
            </w:r>
          </w:p>
        </w:tc>
        <w:tc>
          <w:tcPr>
            <w:tcW w:w="907" w:type="dxa"/>
            <w:tcBorders>
              <w:top w:val="single" w:color="000000" w:sz="4" w:space="0"/>
              <w:left w:val="single" w:color="auto" w:sz="4" w:space="0"/>
              <w:bottom w:val="single" w:color="auto" w:sz="4" w:space="0"/>
              <w:right w:val="single" w:color="000000" w:sz="4" w:space="0"/>
            </w:tcBorders>
          </w:tcPr>
          <w:p>
            <w:pPr>
              <w:widowControl/>
              <w:rPr>
                <w:rFonts w:hint="eastAsia" w:eastAsia="宋体"/>
                <w:b/>
                <w:sz w:val="24"/>
                <w:lang w:eastAsia="zh-CN"/>
              </w:rPr>
            </w:pPr>
            <w:r>
              <w:rPr>
                <w:rFonts w:hint="eastAsia" w:ascii="宋体" w:hAnsi="宋体"/>
                <w:b/>
                <w:sz w:val="21"/>
                <w:szCs w:val="21"/>
              </w:rPr>
              <w:t>对</w:t>
            </w:r>
            <w:r>
              <w:rPr>
                <w:rFonts w:hint="eastAsia" w:ascii="宋体" w:hAnsi="宋体"/>
                <w:b/>
                <w:sz w:val="21"/>
                <w:szCs w:val="21"/>
                <w:lang w:val="en-US" w:eastAsia="zh-CN"/>
              </w:rPr>
              <w:t>抽查对象的等次</w:t>
            </w:r>
            <w:r>
              <w:rPr>
                <w:rFonts w:hint="eastAsia" w:ascii="宋体" w:hAnsi="宋体"/>
                <w:b/>
                <w:sz w:val="21"/>
                <w:szCs w:val="21"/>
              </w:rPr>
              <w:t>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7" w:hRule="atLeast"/>
        </w:trPr>
        <w:tc>
          <w:tcPr>
            <w:tcW w:w="509" w:type="dxa"/>
            <w:vMerge w:val="restart"/>
            <w:tcBorders>
              <w:top w:val="single" w:color="000000" w:sz="4" w:space="0"/>
              <w:left w:val="single" w:color="000000" w:sz="4" w:space="0"/>
              <w:right w:val="single" w:color="000000" w:sz="4" w:space="0"/>
            </w:tcBorders>
            <w:vAlign w:val="center"/>
          </w:tcPr>
          <w:p>
            <w:pPr>
              <w:jc w:val="center"/>
            </w:pPr>
            <w:r>
              <w:t>1</w:t>
            </w:r>
          </w:p>
          <w:p>
            <w:pPr>
              <w:jc w:val="center"/>
            </w:pPr>
          </w:p>
          <w:p>
            <w:pPr>
              <w:jc w:val="center"/>
            </w:pPr>
          </w:p>
          <w:p>
            <w:pPr>
              <w:jc w:val="center"/>
            </w:pPr>
          </w:p>
        </w:tc>
        <w:tc>
          <w:tcPr>
            <w:tcW w:w="1493" w:type="dxa"/>
            <w:vMerge w:val="restart"/>
            <w:tcBorders>
              <w:top w:val="single" w:color="000000" w:sz="4" w:space="0"/>
              <w:left w:val="single" w:color="000000" w:sz="4" w:space="0"/>
              <w:right w:val="single" w:color="000000" w:sz="4" w:space="0"/>
            </w:tcBorders>
          </w:tcPr>
          <w:p>
            <w:pPr>
              <w:rPr>
                <w:rFonts w:ascii="仿宋" w:hAnsi="仿宋" w:eastAsia="仿宋"/>
              </w:rPr>
            </w:pPr>
          </w:p>
          <w:p>
            <w:pPr>
              <w:ind w:firstLine="1890" w:firstLineChars="900"/>
              <w:jc w:val="left"/>
              <w:rPr>
                <w:rFonts w:ascii="仿宋" w:hAnsi="仿宋" w:eastAsia="仿宋"/>
              </w:rPr>
            </w:pPr>
            <w:r>
              <w:rPr>
                <w:rFonts w:hint="eastAsia" w:ascii="仿宋" w:hAnsi="仿宋" w:eastAsia="仿宋"/>
              </w:rPr>
              <w:t xml:space="preserve"> </w:t>
            </w:r>
          </w:p>
          <w:p>
            <w:pPr>
              <w:ind w:firstLine="1890" w:firstLineChars="900"/>
              <w:jc w:val="left"/>
              <w:rPr>
                <w:rFonts w:ascii="仿宋" w:hAnsi="仿宋" w:eastAsia="仿宋"/>
              </w:rPr>
            </w:pPr>
          </w:p>
          <w:p>
            <w:pPr>
              <w:jc w:val="left"/>
              <w:rPr>
                <w:rFonts w:ascii="仿宋" w:hAnsi="仿宋" w:eastAsia="仿宋"/>
              </w:rPr>
            </w:pPr>
            <w:r>
              <w:rPr>
                <w:rFonts w:hint="eastAsia" w:ascii="仿宋" w:hAnsi="仿宋" w:eastAsia="仿宋"/>
              </w:rPr>
              <w:t>利用加油机税控装置或者税控加油机的记录对汽油销售数据进行核查；核查汽油入库、储存、销售的数据</w:t>
            </w:r>
          </w:p>
          <w:p>
            <w:pPr>
              <w:rPr>
                <w:rFonts w:ascii="仿宋" w:hAnsi="仿宋" w:eastAsia="仿宋"/>
              </w:rPr>
            </w:pPr>
          </w:p>
        </w:tc>
        <w:tc>
          <w:tcPr>
            <w:tcW w:w="3052" w:type="dxa"/>
            <w:vMerge w:val="restart"/>
            <w:tcBorders>
              <w:top w:val="single" w:color="000000" w:sz="4" w:space="0"/>
              <w:left w:val="single" w:color="000000" w:sz="4" w:space="0"/>
              <w:right w:val="single" w:color="000000" w:sz="4" w:space="0"/>
            </w:tcBorders>
          </w:tcPr>
          <w:p>
            <w:pPr>
              <w:rPr>
                <w:rFonts w:ascii="仿宋" w:hAnsi="仿宋" w:eastAsia="仿宋"/>
                <w:sz w:val="15"/>
                <w:szCs w:val="15"/>
              </w:rPr>
            </w:pPr>
            <w:r>
              <w:rPr>
                <w:rFonts w:hint="eastAsia" w:ascii="仿宋" w:hAnsi="仿宋" w:eastAsia="仿宋"/>
                <w:sz w:val="15"/>
                <w:szCs w:val="15"/>
              </w:rPr>
              <w:t>《海南经济特区机动车辆通行附加费征收管理条例》（2010年9月20日海南省人民代表大会常务委员会公告第54号）第十三条第三款征稽机构有权利用汽油经营企业安装的计量装置核查汽油入库、储存、销售的数据，汽油经营企业应当予以配合。第十四条在不影响税收征收管理的情况下，征稽机构有权利用加油机税控装置或者税控加油机的记录对汽油销售数据进行核查，税务机关应当予以配合。　第十七条  汽油经营企业应当妥善保管进油、销售、库存和相关财务会计凭证帐薄，按月向征稽机构报送进油、销售、库存、非正常损耗的报表，并在征稽机构进行检查时如实提供，配合检查。</w:t>
            </w:r>
          </w:p>
        </w:tc>
        <w:tc>
          <w:tcPr>
            <w:tcW w:w="1231" w:type="dxa"/>
            <w:tcBorders>
              <w:top w:val="single" w:color="000000" w:sz="4" w:space="0"/>
              <w:left w:val="single" w:color="000000" w:sz="4" w:space="0"/>
              <w:right w:val="single" w:color="000000" w:sz="4" w:space="0"/>
            </w:tcBorders>
          </w:tcPr>
          <w:p>
            <w:pPr>
              <w:rPr>
                <w:rFonts w:ascii="仿宋" w:hAnsi="仿宋" w:eastAsia="仿宋"/>
                <w:sz w:val="15"/>
                <w:szCs w:val="15"/>
              </w:rPr>
            </w:pPr>
          </w:p>
          <w:p>
            <w:pPr>
              <w:rPr>
                <w:rFonts w:ascii="仿宋" w:hAnsi="仿宋" w:eastAsia="仿宋"/>
                <w:sz w:val="15"/>
                <w:szCs w:val="15"/>
              </w:rPr>
            </w:pPr>
          </w:p>
          <w:p>
            <w:pPr>
              <w:rPr>
                <w:rFonts w:ascii="仿宋" w:hAnsi="仿宋" w:eastAsia="仿宋"/>
                <w:sz w:val="15"/>
                <w:szCs w:val="15"/>
              </w:rPr>
            </w:pPr>
          </w:p>
          <w:p>
            <w:pPr>
              <w:rPr>
                <w:rFonts w:ascii="仿宋" w:hAnsi="仿宋" w:eastAsia="仿宋"/>
                <w:sz w:val="15"/>
                <w:szCs w:val="15"/>
              </w:rPr>
            </w:pPr>
            <w:r>
              <w:rPr>
                <w:rFonts w:hint="eastAsia" w:ascii="仿宋" w:hAnsi="仿宋" w:eastAsia="仿宋"/>
                <w:sz w:val="15"/>
                <w:szCs w:val="15"/>
              </w:rPr>
              <w:t>汽油零售企业（加油站）</w:t>
            </w:r>
          </w:p>
        </w:tc>
        <w:tc>
          <w:tcPr>
            <w:tcW w:w="3487" w:type="dxa"/>
            <w:tcBorders>
              <w:top w:val="single" w:color="000000" w:sz="4" w:space="0"/>
              <w:left w:val="single" w:color="000000" w:sz="4" w:space="0"/>
              <w:right w:val="single" w:color="auto" w:sz="4" w:space="0"/>
            </w:tcBorders>
          </w:tcPr>
          <w:p>
            <w:pPr>
              <w:rPr>
                <w:rFonts w:ascii="仿宋" w:hAnsi="仿宋" w:eastAsia="仿宋"/>
                <w:sz w:val="15"/>
                <w:szCs w:val="15"/>
              </w:rPr>
            </w:pPr>
          </w:p>
          <w:p>
            <w:pPr>
              <w:rPr>
                <w:rFonts w:ascii="仿宋" w:hAnsi="仿宋" w:eastAsia="仿宋"/>
                <w:sz w:val="15"/>
                <w:szCs w:val="15"/>
              </w:rPr>
            </w:pPr>
            <w:r>
              <w:rPr>
                <w:rFonts w:hint="eastAsia" w:ascii="仿宋" w:hAnsi="仿宋" w:eastAsia="仿宋"/>
                <w:sz w:val="15"/>
                <w:szCs w:val="15"/>
              </w:rPr>
              <w:t>1、检查征稽机构为汽油零售企业（加油站）核发的《海南经济特区机动车辆通行附加费征稽登记证》； 2、利用加油机税控装置或者税控加油机的记录对汽油销售数据进行核查；3、检查汽油经营企业所属加油站或油库向征稽机构报送的《汽油购进、销售、库存月报表》。</w:t>
            </w:r>
          </w:p>
        </w:tc>
        <w:tc>
          <w:tcPr>
            <w:tcW w:w="2535" w:type="dxa"/>
            <w:tcBorders>
              <w:top w:val="single" w:color="000000" w:sz="4" w:space="0"/>
              <w:left w:val="single" w:color="auto" w:sz="4" w:space="0"/>
              <w:right w:val="single" w:color="auto" w:sz="4" w:space="0"/>
            </w:tcBorders>
          </w:tcPr>
          <w:p>
            <w:pPr>
              <w:rPr>
                <w:rFonts w:ascii="仿宋" w:hAnsi="仿宋" w:eastAsia="仿宋"/>
                <w:sz w:val="15"/>
                <w:szCs w:val="15"/>
              </w:rPr>
            </w:pPr>
            <w:r>
              <w:rPr>
                <w:rFonts w:ascii="仿宋" w:hAnsi="仿宋" w:eastAsia="仿宋"/>
                <w:sz w:val="15"/>
                <w:szCs w:val="15"/>
              </w:rPr>
              <w:t>1</w:t>
            </w:r>
            <w:r>
              <w:rPr>
                <w:rFonts w:hint="eastAsia" w:ascii="仿宋" w:hAnsi="仿宋" w:eastAsia="仿宋"/>
                <w:sz w:val="15"/>
                <w:szCs w:val="15"/>
              </w:rPr>
              <w:t>、是否有海南经济特区机动车辆通行附加费征稽登记证》：有□；无□。</w:t>
            </w:r>
          </w:p>
          <w:p>
            <w:pPr>
              <w:rPr>
                <w:rFonts w:hint="eastAsia" w:ascii="仿宋" w:hAnsi="仿宋" w:eastAsia="仿宋"/>
                <w:sz w:val="15"/>
                <w:szCs w:val="15"/>
              </w:rPr>
            </w:pPr>
            <w:r>
              <w:rPr>
                <w:rFonts w:hint="eastAsia" w:ascii="仿宋" w:hAnsi="仿宋" w:eastAsia="仿宋"/>
                <w:sz w:val="15"/>
                <w:szCs w:val="15"/>
              </w:rPr>
              <w:t>2、检查利用加油机税控装置或者税控加油机的记录核实汽油销售数据是否存在问题：有□；无□。</w:t>
            </w:r>
          </w:p>
          <w:p>
            <w:pPr>
              <w:rPr>
                <w:rFonts w:ascii="仿宋" w:hAnsi="仿宋" w:eastAsia="仿宋"/>
                <w:sz w:val="15"/>
                <w:szCs w:val="15"/>
              </w:rPr>
            </w:pPr>
            <w:r>
              <w:rPr>
                <w:rFonts w:hint="eastAsia" w:ascii="仿宋" w:hAnsi="仿宋" w:eastAsia="仿宋"/>
                <w:sz w:val="15"/>
                <w:szCs w:val="15"/>
              </w:rPr>
              <w:t>3、是否有报送《汽油购进、销售、库存月报表》。有□；无□。</w:t>
            </w:r>
          </w:p>
        </w:tc>
        <w:tc>
          <w:tcPr>
            <w:tcW w:w="960" w:type="dxa"/>
            <w:tcBorders>
              <w:top w:val="single" w:color="000000" w:sz="4" w:space="0"/>
              <w:left w:val="single" w:color="auto" w:sz="4" w:space="0"/>
              <w:right w:val="single" w:color="auto" w:sz="4" w:space="0"/>
            </w:tcBorders>
          </w:tcPr>
          <w:p>
            <w:pPr>
              <w:widowControl/>
              <w:jc w:val="left"/>
              <w:rPr>
                <w:rFonts w:ascii="宋体" w:hAnsi="宋体"/>
              </w:rPr>
            </w:pPr>
          </w:p>
          <w:p>
            <w:pPr>
              <w:widowControl/>
              <w:jc w:val="left"/>
              <w:rPr>
                <w:rFonts w:ascii="宋体" w:hAnsi="宋体"/>
              </w:rPr>
            </w:pPr>
          </w:p>
          <w:p>
            <w:pPr>
              <w:widowControl/>
              <w:jc w:val="left"/>
            </w:pPr>
          </w:p>
          <w:p>
            <w:pPr>
              <w:rPr>
                <w:rFonts w:ascii="宋体" w:hAnsi="宋体"/>
              </w:rPr>
            </w:pPr>
          </w:p>
        </w:tc>
        <w:tc>
          <w:tcPr>
            <w:tcW w:w="907" w:type="dxa"/>
            <w:tcBorders>
              <w:top w:val="single" w:color="auto" w:sz="4" w:space="0"/>
              <w:left w:val="single" w:color="auto" w:sz="4" w:space="0"/>
              <w:bottom w:val="single" w:color="000000" w:sz="4" w:space="0"/>
              <w:right w:val="single" w:color="000000" w:sz="4" w:space="0"/>
            </w:tcBorders>
          </w:tcPr>
          <w:p>
            <w:pPr>
              <w:widowControl/>
              <w:jc w:val="left"/>
            </w:pPr>
          </w:p>
          <w:p>
            <w:pPr>
              <w:widowControl/>
              <w:jc w:val="left"/>
            </w:pPr>
          </w:p>
          <w:p>
            <w:pPr>
              <w:widowControl/>
              <w:jc w:val="left"/>
            </w:pPr>
          </w:p>
          <w:p>
            <w:pPr>
              <w:widowControl/>
              <w:jc w:val="left"/>
            </w:pPr>
          </w:p>
          <w:p>
            <w:pPr>
              <w:widowControl/>
              <w:jc w:val="left"/>
              <w:rPr>
                <w:rFonts w:ascii="宋体" w:hAnsi="宋体"/>
              </w:rPr>
            </w:pPr>
          </w:p>
          <w:p>
            <w:pPr>
              <w:widowControl/>
              <w:jc w:val="left"/>
              <w:rPr>
                <w:rFonts w:ascii="宋体" w:hAnsi="宋体"/>
              </w:rPr>
            </w:pPr>
          </w:p>
          <w:p>
            <w:pP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7" w:hRule="atLeast"/>
        </w:trPr>
        <w:tc>
          <w:tcPr>
            <w:tcW w:w="509" w:type="dxa"/>
            <w:vMerge w:val="continue"/>
            <w:tcBorders>
              <w:left w:val="single" w:color="000000" w:sz="4" w:space="0"/>
              <w:right w:val="single" w:color="000000" w:sz="4" w:space="0"/>
            </w:tcBorders>
            <w:vAlign w:val="center"/>
          </w:tcPr>
          <w:p>
            <w:pPr>
              <w:jc w:val="center"/>
            </w:pPr>
          </w:p>
        </w:tc>
        <w:tc>
          <w:tcPr>
            <w:tcW w:w="1493" w:type="dxa"/>
            <w:vMerge w:val="continue"/>
            <w:tcBorders>
              <w:left w:val="single" w:color="000000" w:sz="4" w:space="0"/>
              <w:right w:val="single" w:color="000000" w:sz="4" w:space="0"/>
            </w:tcBorders>
          </w:tcPr>
          <w:p>
            <w:pPr>
              <w:rPr>
                <w:rFonts w:ascii="仿宋" w:hAnsi="仿宋" w:eastAsia="仿宋"/>
              </w:rPr>
            </w:pPr>
          </w:p>
        </w:tc>
        <w:tc>
          <w:tcPr>
            <w:tcW w:w="3052" w:type="dxa"/>
            <w:vMerge w:val="continue"/>
            <w:tcBorders>
              <w:left w:val="single" w:color="000000" w:sz="4" w:space="0"/>
              <w:right w:val="single" w:color="000000" w:sz="4" w:space="0"/>
            </w:tcBorders>
          </w:tcPr>
          <w:p>
            <w:pPr>
              <w:rPr>
                <w:rFonts w:ascii="仿宋" w:hAnsi="仿宋" w:eastAsia="仿宋"/>
              </w:rPr>
            </w:pPr>
          </w:p>
        </w:tc>
        <w:tc>
          <w:tcPr>
            <w:tcW w:w="1231" w:type="dxa"/>
            <w:tcBorders>
              <w:left w:val="single" w:color="000000" w:sz="4" w:space="0"/>
              <w:right w:val="single" w:color="000000" w:sz="4" w:space="0"/>
            </w:tcBorders>
          </w:tcPr>
          <w:p>
            <w:pPr>
              <w:rPr>
                <w:rFonts w:ascii="仿宋" w:hAnsi="仿宋" w:eastAsia="仿宋"/>
                <w:sz w:val="15"/>
                <w:szCs w:val="15"/>
              </w:rPr>
            </w:pPr>
          </w:p>
          <w:p>
            <w:pPr>
              <w:rPr>
                <w:rFonts w:ascii="仿宋" w:hAnsi="仿宋" w:eastAsia="仿宋"/>
                <w:sz w:val="15"/>
                <w:szCs w:val="15"/>
              </w:rPr>
            </w:pPr>
          </w:p>
          <w:p>
            <w:pPr>
              <w:rPr>
                <w:rFonts w:ascii="仿宋" w:hAnsi="仿宋" w:eastAsia="仿宋"/>
                <w:sz w:val="15"/>
                <w:szCs w:val="15"/>
              </w:rPr>
            </w:pPr>
            <w:r>
              <w:rPr>
                <w:rFonts w:hint="eastAsia" w:ascii="仿宋" w:hAnsi="仿宋" w:eastAsia="仿宋"/>
                <w:sz w:val="15"/>
                <w:szCs w:val="15"/>
              </w:rPr>
              <w:t>汽油经营企业油库</w:t>
            </w:r>
          </w:p>
        </w:tc>
        <w:tc>
          <w:tcPr>
            <w:tcW w:w="3487" w:type="dxa"/>
            <w:tcBorders>
              <w:top w:val="single" w:color="000000" w:sz="4" w:space="0"/>
              <w:left w:val="single" w:color="000000" w:sz="4" w:space="0"/>
              <w:right w:val="single" w:color="auto" w:sz="4" w:space="0"/>
            </w:tcBorders>
          </w:tcPr>
          <w:p>
            <w:pPr>
              <w:rPr>
                <w:rFonts w:ascii="仿宋" w:hAnsi="仿宋" w:eastAsia="仿宋"/>
                <w:sz w:val="15"/>
                <w:szCs w:val="15"/>
              </w:rPr>
            </w:pPr>
          </w:p>
          <w:p>
            <w:pPr>
              <w:rPr>
                <w:rFonts w:ascii="仿宋" w:hAnsi="仿宋" w:eastAsia="仿宋"/>
                <w:sz w:val="15"/>
                <w:szCs w:val="15"/>
              </w:rPr>
            </w:pPr>
            <w:r>
              <w:rPr>
                <w:rFonts w:hint="eastAsia" w:ascii="仿宋" w:hAnsi="仿宋" w:eastAsia="仿宋"/>
                <w:sz w:val="15"/>
                <w:szCs w:val="15"/>
              </w:rPr>
              <w:t>1、检查汽油经营企业《勘验合格证明》；2、检查汽油经营企业的《海南经济特区汽油批发企业购进汽油申报单》；3、检查汽油经营企业所属油库向征稽机构报送的《汽油购进、销售、库存月报表》。</w:t>
            </w:r>
          </w:p>
        </w:tc>
        <w:tc>
          <w:tcPr>
            <w:tcW w:w="2535" w:type="dxa"/>
            <w:tcBorders>
              <w:top w:val="single" w:color="000000" w:sz="4" w:space="0"/>
              <w:left w:val="single" w:color="auto" w:sz="4" w:space="0"/>
              <w:right w:val="single" w:color="auto" w:sz="4" w:space="0"/>
            </w:tcBorders>
          </w:tcPr>
          <w:p>
            <w:pPr>
              <w:rPr>
                <w:rFonts w:ascii="仿宋" w:hAnsi="仿宋" w:eastAsia="仿宋"/>
                <w:sz w:val="15"/>
                <w:szCs w:val="15"/>
              </w:rPr>
            </w:pPr>
            <w:r>
              <w:rPr>
                <w:rFonts w:ascii="仿宋" w:hAnsi="仿宋" w:eastAsia="仿宋"/>
                <w:sz w:val="15"/>
                <w:szCs w:val="15"/>
              </w:rPr>
              <w:t>1</w:t>
            </w:r>
            <w:r>
              <w:rPr>
                <w:rFonts w:hint="eastAsia" w:ascii="仿宋" w:hAnsi="仿宋" w:eastAsia="仿宋"/>
                <w:sz w:val="15"/>
                <w:szCs w:val="15"/>
              </w:rPr>
              <w:t>、是否有《勘验合格证明》：有□；无□。</w:t>
            </w:r>
          </w:p>
          <w:p>
            <w:pPr>
              <w:rPr>
                <w:rFonts w:ascii="仿宋" w:hAnsi="仿宋" w:eastAsia="仿宋"/>
                <w:sz w:val="15"/>
                <w:szCs w:val="15"/>
              </w:rPr>
            </w:pPr>
            <w:r>
              <w:rPr>
                <w:rFonts w:ascii="仿宋" w:hAnsi="仿宋" w:eastAsia="仿宋"/>
                <w:sz w:val="15"/>
                <w:szCs w:val="15"/>
              </w:rPr>
              <w:t>2</w:t>
            </w:r>
            <w:r>
              <w:rPr>
                <w:rFonts w:hint="eastAsia" w:ascii="仿宋" w:hAnsi="仿宋" w:eastAsia="仿宋"/>
                <w:sz w:val="15"/>
                <w:szCs w:val="15"/>
              </w:rPr>
              <w:t>、是否有《海南经济特区汽油批发企业购进汽油申报单》：有□；无□。</w:t>
            </w:r>
          </w:p>
          <w:p>
            <w:pPr>
              <w:rPr>
                <w:rFonts w:ascii="仿宋" w:hAnsi="仿宋" w:eastAsia="仿宋"/>
                <w:sz w:val="15"/>
                <w:szCs w:val="15"/>
              </w:rPr>
            </w:pPr>
            <w:r>
              <w:rPr>
                <w:rFonts w:hint="eastAsia" w:ascii="仿宋" w:hAnsi="仿宋" w:eastAsia="仿宋"/>
                <w:sz w:val="15"/>
                <w:szCs w:val="15"/>
              </w:rPr>
              <w:t>3、是否有报送《汽油购进、销售、库存月报表》。有□；无□。</w:t>
            </w:r>
          </w:p>
        </w:tc>
        <w:tc>
          <w:tcPr>
            <w:tcW w:w="960" w:type="dxa"/>
            <w:tcBorders>
              <w:top w:val="single" w:color="000000" w:sz="4" w:space="0"/>
              <w:left w:val="single" w:color="auto" w:sz="4" w:space="0"/>
              <w:right w:val="single" w:color="auto" w:sz="4" w:space="0"/>
            </w:tcBorders>
          </w:tcPr>
          <w:p>
            <w:pPr>
              <w:widowControl/>
              <w:jc w:val="left"/>
            </w:pPr>
          </w:p>
          <w:p>
            <w:pPr>
              <w:widowControl/>
              <w:jc w:val="left"/>
            </w:pPr>
          </w:p>
          <w:p>
            <w:pPr>
              <w:widowControl/>
              <w:jc w:val="left"/>
            </w:pPr>
          </w:p>
          <w:p>
            <w:pPr>
              <w:widowControl/>
              <w:jc w:val="left"/>
              <w:rPr>
                <w:rFonts w:ascii="宋体" w:hAnsi="宋体"/>
              </w:rPr>
            </w:pPr>
          </w:p>
          <w:p>
            <w:pPr>
              <w:widowControl/>
              <w:jc w:val="left"/>
              <w:rPr>
                <w:rFonts w:ascii="宋体" w:hAnsi="宋体"/>
              </w:rPr>
            </w:pPr>
          </w:p>
          <w:p/>
        </w:tc>
        <w:tc>
          <w:tcPr>
            <w:tcW w:w="907" w:type="dxa"/>
            <w:tcBorders>
              <w:top w:val="single" w:color="000000" w:sz="4" w:space="0"/>
              <w:left w:val="single" w:color="auto" w:sz="4" w:space="0"/>
              <w:bottom w:val="single" w:color="000000" w:sz="4" w:space="0"/>
              <w:right w:val="single" w:color="000000" w:sz="4" w:space="0"/>
            </w:tcBorders>
          </w:tcPr>
          <w:p/>
          <w:p/>
          <w:p/>
          <w:p/>
          <w:p/>
          <w:p/>
        </w:tc>
      </w:tr>
    </w:tbl>
    <w:p>
      <w:pPr>
        <w:rPr>
          <w:rFonts w:ascii="仿宋" w:hAnsi="仿宋" w:eastAsia="仿宋"/>
        </w:rPr>
      </w:pPr>
    </w:p>
    <w:p>
      <w:pPr>
        <w:rPr>
          <w:rFonts w:ascii="仿宋" w:hAnsi="仿宋" w:eastAsia="仿宋"/>
        </w:rPr>
      </w:pPr>
      <w:r>
        <w:rPr>
          <w:rFonts w:ascii="仿宋" w:hAnsi="仿宋" w:eastAsia="仿宋"/>
        </w:rPr>
        <mc:AlternateContent>
          <mc:Choice Requires="wps">
            <w:drawing>
              <wp:anchor distT="0" distB="0" distL="114300" distR="114300" simplePos="0" relativeHeight="251659264" behindDoc="0" locked="0" layoutInCell="1" allowOverlap="1">
                <wp:simplePos x="0" y="0"/>
                <wp:positionH relativeFrom="column">
                  <wp:posOffset>2286000</wp:posOffset>
                </wp:positionH>
                <wp:positionV relativeFrom="paragraph">
                  <wp:posOffset>768350</wp:posOffset>
                </wp:positionV>
                <wp:extent cx="4000500" cy="297180"/>
                <wp:effectExtent l="0" t="0" r="0" b="0"/>
                <wp:wrapNone/>
                <wp:docPr id="1" name="文本框 2"/>
                <wp:cNvGraphicFramePr/>
                <a:graphic xmlns:a="http://schemas.openxmlformats.org/drawingml/2006/main">
                  <a:graphicData uri="http://schemas.microsoft.com/office/word/2010/wordprocessingShape">
                    <wps:wsp>
                      <wps:cNvSpPr txBox="1"/>
                      <wps:spPr>
                        <a:xfrm>
                          <a:off x="0" y="0"/>
                          <a:ext cx="4000500" cy="297180"/>
                        </a:xfrm>
                        <a:prstGeom prst="rect">
                          <a:avLst/>
                        </a:prstGeom>
                        <a:noFill/>
                        <a:ln>
                          <a:noFill/>
                        </a:ln>
                      </wps:spPr>
                      <wps:txbx>
                        <w:txbxContent>
                          <w:p>
                            <w:r>
                              <w:rPr>
                                <w:rFonts w:hint="eastAsia" w:ascii="宋体" w:hAnsi="宋体"/>
                                <w:szCs w:val="21"/>
                              </w:rPr>
                              <w:t>（本表格一式两份：第一联为征稽部门存根，第二联交企业存档）</w:t>
                            </w:r>
                          </w:p>
                        </w:txbxContent>
                      </wps:txbx>
                      <wps:bodyPr upright="1"/>
                    </wps:wsp>
                  </a:graphicData>
                </a:graphic>
              </wp:anchor>
            </w:drawing>
          </mc:Choice>
          <mc:Fallback>
            <w:pict>
              <v:shape id="文本框 2" o:spid="_x0000_s1026" o:spt="202" type="#_x0000_t202" style="position:absolute;left:0pt;margin-left:180pt;margin-top:60.5pt;height:23.4pt;width:315pt;z-index:251659264;mso-width-relative:page;mso-height-relative:page;" filled="f" stroked="f" coordsize="21600,21600" o:gfxdata="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0wejvWAAAA&#10;CwEAAA8AAAAAAAAAAQAgAAAAIgAAAGRycy9kb3ducmV2LnhtbFBLAQIUABQAAAAIAIdO4kDhyNCA&#10;rQEAAE4DAAAOAAAAAAAAAAEAIAAAACUBAABkcnMvZTJvRG9jLnhtbFBLBQYAAAAABgAGAFkBAABE&#10;BQAAAAA=&#10;">
                <v:fill on="f" focussize="0,0"/>
                <v:stroke on="f"/>
                <v:imagedata o:title=""/>
                <o:lock v:ext="edit" aspectratio="f"/>
                <v:textbox>
                  <w:txbxContent>
                    <w:p>
                      <w:r>
                        <w:rPr>
                          <w:rFonts w:hint="eastAsia" w:ascii="宋体" w:hAnsi="宋体"/>
                          <w:szCs w:val="21"/>
                        </w:rPr>
                        <w:t>（本表格一式两份：第一联为征稽部门存根，第二联交企业存档）</w:t>
                      </w:r>
                    </w:p>
                  </w:txbxContent>
                </v:textbox>
              </v:shape>
            </w:pict>
          </mc:Fallback>
        </mc:AlternateContent>
      </w:r>
      <w:r>
        <w:rPr>
          <w:rFonts w:hint="eastAsia" w:ascii="仿宋" w:hAnsi="仿宋" w:eastAsia="仿宋"/>
        </w:rPr>
        <w:t>执法人员（签名）及执法证号码：</w:t>
      </w:r>
      <w:r>
        <w:rPr>
          <w:rFonts w:ascii="仿宋" w:hAnsi="仿宋" w:eastAsia="仿宋"/>
        </w:rPr>
        <w:t xml:space="preserve">                   </w:t>
      </w:r>
      <w:r>
        <w:rPr>
          <w:rFonts w:hint="eastAsia" w:ascii="仿宋" w:hAnsi="仿宋" w:eastAsia="仿宋"/>
        </w:rPr>
        <w:t xml:space="preserve">                               被抽查单位签名（盖章）：</w:t>
      </w:r>
    </w:p>
    <w:p>
      <w:pPr>
        <w:rPr>
          <w:rFonts w:hint="eastAsia" w:ascii="仿宋" w:hAnsi="仿宋" w:eastAsia="仿宋"/>
          <w:lang w:val="en-US" w:eastAsia="zh-CN"/>
        </w:rPr>
      </w:pPr>
      <w:r>
        <w:rPr>
          <w:rFonts w:hint="eastAsia" w:ascii="仿宋" w:hAnsi="仿宋" w:eastAsia="仿宋"/>
          <w:lang w:val="en-US" w:eastAsia="zh-CN"/>
        </w:rPr>
        <w:t xml:space="preserve">                           </w:t>
      </w:r>
    </w:p>
    <w:p>
      <w:pPr>
        <w:ind w:firstLine="2940" w:firstLineChars="1400"/>
        <w:rPr>
          <w:rFonts w:hint="eastAsia" w:ascii="仿宋" w:hAnsi="仿宋" w:eastAsia="仿宋"/>
        </w:rPr>
      </w:pPr>
      <w:bookmarkStart w:id="0" w:name="_GoBack"/>
      <w:bookmarkEnd w:id="0"/>
      <w:r>
        <w:rPr>
          <w:rFonts w:hint="eastAsia" w:ascii="仿宋" w:hAnsi="仿宋" w:eastAsia="仿宋"/>
          <w:lang w:val="en-US" w:eastAsia="zh-CN"/>
        </w:rPr>
        <w:t xml:space="preserve"> </w:t>
      </w:r>
      <w:r>
        <w:rPr>
          <w:rFonts w:hint="eastAsia" w:asciiTheme="minorEastAsia" w:hAnsiTheme="minorEastAsia" w:eastAsiaTheme="minorEastAsia"/>
          <w:b/>
          <w:sz w:val="32"/>
          <w:szCs w:val="32"/>
        </w:rPr>
        <w:t>运输汽油的车辆携带相关材料</w:t>
      </w:r>
      <w:r>
        <w:rPr>
          <w:b/>
          <w:sz w:val="32"/>
          <w:szCs w:val="32"/>
        </w:rPr>
        <w:t>随机抽查情况反馈表</w:t>
      </w:r>
    </w:p>
    <w:p>
      <w:pPr>
        <w:rPr>
          <w:rFonts w:ascii="仿宋" w:hAnsi="仿宋" w:eastAsia="仿宋"/>
        </w:rPr>
      </w:pPr>
      <w:r>
        <w:rPr>
          <w:rFonts w:hint="eastAsia" w:ascii="仿宋" w:hAnsi="仿宋" w:eastAsia="仿宋"/>
        </w:rPr>
        <w:t>被抽查人（市场主体）：</w:t>
      </w:r>
      <w:r>
        <w:rPr>
          <w:rFonts w:ascii="仿宋" w:hAnsi="仿宋" w:eastAsia="仿宋"/>
        </w:rPr>
        <w:t xml:space="preserve">                                                                                </w:t>
      </w:r>
      <w:r>
        <w:rPr>
          <w:rFonts w:hint="eastAsia" w:ascii="仿宋" w:hAnsi="仿宋" w:eastAsia="仿宋"/>
        </w:rPr>
        <w:t>抽查时间：</w:t>
      </w:r>
      <w:r>
        <w:rPr>
          <w:rFonts w:ascii="仿宋" w:hAnsi="仿宋" w:eastAsia="仿宋"/>
        </w:rPr>
        <w:t xml:space="preserve">    </w:t>
      </w:r>
      <w:r>
        <w:rPr>
          <w:rFonts w:hint="eastAsia" w:ascii="仿宋" w:hAnsi="仿宋" w:eastAsia="仿宋"/>
        </w:rPr>
        <w:t>年</w:t>
      </w:r>
      <w:r>
        <w:rPr>
          <w:rFonts w:ascii="仿宋" w:hAnsi="仿宋" w:eastAsia="仿宋"/>
        </w:rPr>
        <w:t xml:space="preserve">  </w:t>
      </w:r>
      <w:r>
        <w:rPr>
          <w:rFonts w:hint="eastAsia" w:ascii="仿宋" w:hAnsi="仿宋" w:eastAsia="仿宋"/>
          <w:lang w:val="en-US" w:eastAsia="zh-CN"/>
        </w:rPr>
        <w:t xml:space="preserve"> </w:t>
      </w:r>
      <w:r>
        <w:rPr>
          <w:rFonts w:ascii="仿宋" w:hAnsi="仿宋" w:eastAsia="仿宋"/>
        </w:rPr>
        <w:t xml:space="preserve"> </w:t>
      </w:r>
      <w:r>
        <w:rPr>
          <w:rFonts w:hint="eastAsia" w:ascii="仿宋" w:hAnsi="仿宋" w:eastAsia="仿宋"/>
        </w:rPr>
        <w:t>月</w:t>
      </w:r>
      <w:r>
        <w:rPr>
          <w:rFonts w:ascii="仿宋" w:hAnsi="仿宋" w:eastAsia="仿宋"/>
        </w:rPr>
        <w:t xml:space="preserve">    </w:t>
      </w:r>
      <w:r>
        <w:rPr>
          <w:rFonts w:hint="eastAsia" w:ascii="仿宋" w:hAnsi="仿宋" w:eastAsia="仿宋"/>
        </w:rPr>
        <w:t>日</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14"/>
        <w:gridCol w:w="1731"/>
        <w:gridCol w:w="2966"/>
        <w:gridCol w:w="1418"/>
        <w:gridCol w:w="3308"/>
        <w:gridCol w:w="1923"/>
        <w:gridCol w:w="1375"/>
        <w:gridCol w:w="9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514" w:type="dxa"/>
            <w:tcBorders>
              <w:top w:val="single" w:color="000000" w:sz="4" w:space="0"/>
              <w:left w:val="single" w:color="000000" w:sz="4" w:space="0"/>
              <w:bottom w:val="single" w:color="000000" w:sz="4" w:space="0"/>
              <w:right w:val="single" w:color="000000" w:sz="4" w:space="0"/>
            </w:tcBorders>
          </w:tcPr>
          <w:p>
            <w:pPr>
              <w:rPr>
                <w:b/>
                <w:sz w:val="24"/>
              </w:rPr>
            </w:pPr>
            <w:r>
              <w:rPr>
                <w:rFonts w:hint="eastAsia"/>
                <w:b/>
                <w:sz w:val="24"/>
              </w:rPr>
              <w:t>序号</w:t>
            </w:r>
          </w:p>
        </w:tc>
        <w:tc>
          <w:tcPr>
            <w:tcW w:w="1731" w:type="dxa"/>
            <w:tcBorders>
              <w:top w:val="single" w:color="000000" w:sz="4" w:space="0"/>
              <w:left w:val="single" w:color="000000" w:sz="4" w:space="0"/>
              <w:bottom w:val="single" w:color="000000" w:sz="4" w:space="0"/>
              <w:right w:val="single" w:color="000000" w:sz="4" w:space="0"/>
            </w:tcBorders>
            <w:vAlign w:val="center"/>
          </w:tcPr>
          <w:p>
            <w:pPr>
              <w:jc w:val="center"/>
              <w:rPr>
                <w:b/>
                <w:sz w:val="24"/>
              </w:rPr>
            </w:pPr>
            <w:r>
              <w:rPr>
                <w:rFonts w:hint="eastAsia"/>
                <w:b/>
                <w:sz w:val="24"/>
              </w:rPr>
              <w:t>抽查项目</w:t>
            </w:r>
          </w:p>
        </w:tc>
        <w:tc>
          <w:tcPr>
            <w:tcW w:w="2966" w:type="dxa"/>
            <w:tcBorders>
              <w:top w:val="single" w:color="000000" w:sz="4" w:space="0"/>
              <w:left w:val="single" w:color="000000" w:sz="4" w:space="0"/>
              <w:bottom w:val="single" w:color="000000" w:sz="4" w:space="0"/>
              <w:right w:val="single" w:color="000000" w:sz="4" w:space="0"/>
            </w:tcBorders>
            <w:vAlign w:val="center"/>
          </w:tcPr>
          <w:p>
            <w:pPr>
              <w:jc w:val="center"/>
              <w:rPr>
                <w:b/>
                <w:sz w:val="24"/>
              </w:rPr>
            </w:pPr>
            <w:r>
              <w:rPr>
                <w:rFonts w:hint="eastAsia"/>
                <w:b/>
                <w:sz w:val="24"/>
              </w:rPr>
              <w:t>抽查依据</w:t>
            </w:r>
          </w:p>
        </w:tc>
        <w:tc>
          <w:tcPr>
            <w:tcW w:w="1418" w:type="dxa"/>
            <w:tcBorders>
              <w:top w:val="single" w:color="000000" w:sz="4" w:space="0"/>
              <w:left w:val="single" w:color="000000" w:sz="4" w:space="0"/>
              <w:bottom w:val="single" w:color="000000" w:sz="4" w:space="0"/>
              <w:right w:val="single" w:color="000000" w:sz="4" w:space="0"/>
            </w:tcBorders>
          </w:tcPr>
          <w:p>
            <w:pPr>
              <w:ind w:firstLine="120" w:firstLineChars="50"/>
              <w:rPr>
                <w:rFonts w:hint="eastAsia"/>
                <w:b/>
                <w:sz w:val="24"/>
              </w:rPr>
            </w:pPr>
          </w:p>
          <w:p>
            <w:pPr>
              <w:ind w:firstLine="120" w:firstLineChars="50"/>
              <w:rPr>
                <w:rFonts w:hint="eastAsia" w:eastAsia="宋体"/>
                <w:b/>
                <w:sz w:val="24"/>
                <w:lang w:eastAsia="zh-CN"/>
              </w:rPr>
            </w:pPr>
            <w:r>
              <w:rPr>
                <w:rFonts w:hint="eastAsia"/>
                <w:b/>
                <w:sz w:val="24"/>
              </w:rPr>
              <w:t>抽查</w:t>
            </w:r>
            <w:r>
              <w:rPr>
                <w:rFonts w:hint="eastAsia"/>
                <w:b/>
                <w:sz w:val="24"/>
                <w:lang w:val="en-US" w:eastAsia="zh-CN"/>
              </w:rPr>
              <w:t>对象</w:t>
            </w:r>
          </w:p>
        </w:tc>
        <w:tc>
          <w:tcPr>
            <w:tcW w:w="3308" w:type="dxa"/>
            <w:tcBorders>
              <w:top w:val="single" w:color="000000" w:sz="4" w:space="0"/>
              <w:left w:val="single" w:color="000000" w:sz="4" w:space="0"/>
              <w:bottom w:val="single" w:color="000000" w:sz="4" w:space="0"/>
              <w:right w:val="single" w:color="auto" w:sz="4" w:space="0"/>
            </w:tcBorders>
            <w:vAlign w:val="center"/>
          </w:tcPr>
          <w:p>
            <w:pPr>
              <w:jc w:val="center"/>
              <w:rPr>
                <w:b/>
                <w:sz w:val="24"/>
              </w:rPr>
            </w:pPr>
            <w:r>
              <w:rPr>
                <w:rFonts w:hint="eastAsia"/>
                <w:b/>
                <w:sz w:val="24"/>
              </w:rPr>
              <w:t>抽查内容</w:t>
            </w:r>
          </w:p>
        </w:tc>
        <w:tc>
          <w:tcPr>
            <w:tcW w:w="1923" w:type="dxa"/>
            <w:tcBorders>
              <w:top w:val="single" w:color="000000" w:sz="4" w:space="0"/>
              <w:left w:val="single" w:color="auto" w:sz="4" w:space="0"/>
              <w:bottom w:val="single" w:color="000000" w:sz="4" w:space="0"/>
              <w:right w:val="single" w:color="auto" w:sz="4" w:space="0"/>
            </w:tcBorders>
            <w:vAlign w:val="center"/>
          </w:tcPr>
          <w:p>
            <w:pPr>
              <w:jc w:val="center"/>
              <w:rPr>
                <w:b/>
                <w:sz w:val="24"/>
              </w:rPr>
            </w:pPr>
            <w:r>
              <w:rPr>
                <w:rFonts w:hint="eastAsia"/>
                <w:b/>
                <w:sz w:val="24"/>
              </w:rPr>
              <w:t>抽查情况</w:t>
            </w:r>
          </w:p>
        </w:tc>
        <w:tc>
          <w:tcPr>
            <w:tcW w:w="1375" w:type="dxa"/>
            <w:tcBorders>
              <w:top w:val="single" w:color="000000" w:sz="4" w:space="0"/>
              <w:left w:val="single" w:color="auto" w:sz="4" w:space="0"/>
              <w:bottom w:val="single" w:color="000000" w:sz="4" w:space="0"/>
              <w:right w:val="single" w:color="auto" w:sz="4" w:space="0"/>
            </w:tcBorders>
            <w:vAlign w:val="center"/>
          </w:tcPr>
          <w:p>
            <w:pPr>
              <w:jc w:val="center"/>
              <w:rPr>
                <w:b/>
                <w:sz w:val="24"/>
              </w:rPr>
            </w:pPr>
            <w:r>
              <w:rPr>
                <w:rFonts w:hint="eastAsia"/>
                <w:b/>
                <w:sz w:val="24"/>
                <w:lang w:val="en-US" w:eastAsia="zh-CN"/>
              </w:rPr>
              <w:t>存在问题及</w:t>
            </w:r>
            <w:r>
              <w:rPr>
                <w:rFonts w:hint="eastAsia"/>
                <w:b/>
                <w:sz w:val="24"/>
              </w:rPr>
              <w:t>处理</w:t>
            </w:r>
            <w:r>
              <w:rPr>
                <w:rFonts w:hint="eastAsia"/>
                <w:b/>
                <w:sz w:val="24"/>
                <w:lang w:val="en-US" w:eastAsia="zh-CN"/>
              </w:rPr>
              <w:t xml:space="preserve">  </w:t>
            </w:r>
            <w:r>
              <w:rPr>
                <w:rFonts w:hint="eastAsia"/>
                <w:b/>
                <w:sz w:val="24"/>
              </w:rPr>
              <w:t>意见</w:t>
            </w:r>
          </w:p>
        </w:tc>
        <w:tc>
          <w:tcPr>
            <w:tcW w:w="939" w:type="dxa"/>
            <w:tcBorders>
              <w:top w:val="single" w:color="000000" w:sz="4" w:space="0"/>
              <w:left w:val="single" w:color="auto" w:sz="4" w:space="0"/>
              <w:bottom w:val="single" w:color="auto" w:sz="4" w:space="0"/>
              <w:right w:val="single" w:color="000000" w:sz="4" w:space="0"/>
            </w:tcBorders>
          </w:tcPr>
          <w:p>
            <w:pPr>
              <w:rPr>
                <w:b/>
                <w:sz w:val="24"/>
              </w:rPr>
            </w:pPr>
            <w:r>
              <w:rPr>
                <w:rFonts w:hint="eastAsia" w:ascii="宋体" w:hAnsi="宋体"/>
                <w:b/>
                <w:sz w:val="18"/>
                <w:szCs w:val="18"/>
              </w:rPr>
              <w:t>对</w:t>
            </w:r>
            <w:r>
              <w:rPr>
                <w:rFonts w:hint="eastAsia" w:ascii="宋体" w:hAnsi="宋体"/>
                <w:b/>
                <w:sz w:val="18"/>
                <w:szCs w:val="18"/>
                <w:lang w:val="en-US" w:eastAsia="zh-CN"/>
              </w:rPr>
              <w:t>抽查对象的等次</w:t>
            </w:r>
            <w:r>
              <w:rPr>
                <w:rFonts w:hint="eastAsia" w:ascii="宋体" w:hAnsi="宋体"/>
                <w:b/>
                <w:sz w:val="18"/>
                <w:szCs w:val="18"/>
              </w:rPr>
              <w:t>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1" w:hRule="atLeast"/>
        </w:trPr>
        <w:tc>
          <w:tcPr>
            <w:tcW w:w="514" w:type="dxa"/>
            <w:tcBorders>
              <w:top w:val="single" w:color="000000" w:sz="4" w:space="0"/>
              <w:left w:val="single" w:color="000000" w:sz="4" w:space="0"/>
              <w:right w:val="single" w:color="000000" w:sz="4" w:space="0"/>
            </w:tcBorders>
            <w:vAlign w:val="center"/>
          </w:tcPr>
          <w:p>
            <w:pPr>
              <w:jc w:val="center"/>
            </w:pPr>
            <w:r>
              <w:rPr>
                <w:rFonts w:hint="eastAsia"/>
              </w:rPr>
              <w:t xml:space="preserve">  </w:t>
            </w:r>
            <w:r>
              <w:t>1</w:t>
            </w:r>
          </w:p>
          <w:p>
            <w:pPr>
              <w:jc w:val="center"/>
            </w:pPr>
          </w:p>
          <w:p>
            <w:pPr>
              <w:jc w:val="center"/>
            </w:pPr>
          </w:p>
          <w:p>
            <w:pPr>
              <w:jc w:val="center"/>
            </w:pPr>
          </w:p>
        </w:tc>
        <w:tc>
          <w:tcPr>
            <w:tcW w:w="1731" w:type="dxa"/>
            <w:tcBorders>
              <w:top w:val="single" w:color="000000" w:sz="4" w:space="0"/>
              <w:left w:val="single" w:color="000000" w:sz="4" w:space="0"/>
              <w:right w:val="single" w:color="000000" w:sz="4" w:space="0"/>
            </w:tcBorders>
          </w:tcPr>
          <w:p>
            <w:pPr>
              <w:rPr>
                <w:rFonts w:ascii="仿宋" w:hAnsi="仿宋" w:eastAsia="仿宋"/>
              </w:rPr>
            </w:pPr>
          </w:p>
          <w:p>
            <w:pPr>
              <w:jc w:val="left"/>
              <w:rPr>
                <w:rFonts w:ascii="仿宋" w:hAnsi="仿宋" w:eastAsia="仿宋"/>
              </w:rPr>
            </w:pPr>
          </w:p>
          <w:p>
            <w:pPr>
              <w:jc w:val="left"/>
              <w:rPr>
                <w:rFonts w:ascii="仿宋" w:hAnsi="仿宋" w:eastAsia="仿宋"/>
              </w:rPr>
            </w:pPr>
          </w:p>
          <w:p>
            <w:pPr>
              <w:jc w:val="left"/>
              <w:rPr>
                <w:rFonts w:ascii="仿宋" w:hAnsi="仿宋" w:eastAsia="仿宋"/>
              </w:rPr>
            </w:pPr>
          </w:p>
          <w:p>
            <w:pPr>
              <w:jc w:val="left"/>
              <w:rPr>
                <w:rFonts w:ascii="仿宋" w:hAnsi="仿宋" w:eastAsia="仿宋"/>
              </w:rPr>
            </w:pPr>
            <w:r>
              <w:rPr>
                <w:rFonts w:hint="eastAsia" w:ascii="仿宋" w:hAnsi="仿宋" w:eastAsia="仿宋"/>
              </w:rPr>
              <w:t>对在本经济特区内运输汽油的车辆的检查</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tc>
        <w:tc>
          <w:tcPr>
            <w:tcW w:w="2966" w:type="dxa"/>
            <w:tcBorders>
              <w:top w:val="single" w:color="000000" w:sz="4" w:space="0"/>
              <w:left w:val="single" w:color="000000" w:sz="4" w:space="0"/>
              <w:right w:val="single" w:color="000000" w:sz="4" w:space="0"/>
            </w:tcBorders>
          </w:tcPr>
          <w:p>
            <w:pPr>
              <w:rPr>
                <w:rFonts w:ascii="仿宋" w:hAnsi="仿宋" w:eastAsia="仿宋"/>
                <w:sz w:val="15"/>
                <w:szCs w:val="15"/>
              </w:rPr>
            </w:pPr>
          </w:p>
          <w:p>
            <w:pPr>
              <w:rPr>
                <w:rFonts w:ascii="仿宋" w:hAnsi="仿宋" w:eastAsia="仿宋"/>
                <w:sz w:val="15"/>
                <w:szCs w:val="15"/>
              </w:rPr>
            </w:pPr>
            <w:r>
              <w:rPr>
                <w:rFonts w:hint="eastAsia" w:ascii="仿宋" w:hAnsi="仿宋" w:eastAsia="仿宋"/>
                <w:sz w:val="18"/>
                <w:szCs w:val="18"/>
              </w:rPr>
              <w:t>《海南经济特区机动车辆通行附加费征收管理条例》（2010年9月20日海南省人民代表大会常务委员会公告第54号）第十六条运输汽油的车辆、船舶应当携带征稽机构开具的相关资料，以备检查。公安、边防等部门应当协助征稽机构对机动车辆通行附加费的征缴情况实施稽查，加强对在本经济特区内运输汽油的车辆、船舶的检查。</w:t>
            </w:r>
          </w:p>
        </w:tc>
        <w:tc>
          <w:tcPr>
            <w:tcW w:w="1418" w:type="dxa"/>
            <w:tcBorders>
              <w:top w:val="single" w:color="000000" w:sz="4" w:space="0"/>
              <w:left w:val="single" w:color="000000" w:sz="4" w:space="0"/>
              <w:right w:val="single" w:color="000000" w:sz="4" w:space="0"/>
            </w:tcBorders>
          </w:tcPr>
          <w:p>
            <w:pPr>
              <w:rPr>
                <w:rFonts w:ascii="仿宋" w:hAnsi="仿宋" w:eastAsia="仿宋"/>
                <w:sz w:val="15"/>
                <w:szCs w:val="15"/>
              </w:rPr>
            </w:pPr>
          </w:p>
          <w:p>
            <w:pPr>
              <w:rPr>
                <w:rFonts w:ascii="仿宋" w:hAnsi="仿宋" w:eastAsia="仿宋"/>
                <w:sz w:val="15"/>
                <w:szCs w:val="15"/>
              </w:rPr>
            </w:pPr>
          </w:p>
          <w:p>
            <w:pPr>
              <w:rPr>
                <w:rFonts w:ascii="仿宋" w:hAnsi="仿宋" w:eastAsia="仿宋"/>
                <w:sz w:val="15"/>
                <w:szCs w:val="15"/>
              </w:rPr>
            </w:pPr>
          </w:p>
          <w:p>
            <w:pPr>
              <w:rPr>
                <w:rFonts w:ascii="仿宋" w:hAnsi="仿宋" w:eastAsia="仿宋"/>
                <w:sz w:val="15"/>
                <w:szCs w:val="15"/>
              </w:rPr>
            </w:pPr>
          </w:p>
          <w:p>
            <w:pPr>
              <w:rPr>
                <w:rFonts w:ascii="仿宋" w:hAnsi="仿宋" w:eastAsia="仿宋"/>
                <w:sz w:val="15"/>
                <w:szCs w:val="15"/>
              </w:rPr>
            </w:pPr>
            <w:r>
              <w:rPr>
                <w:rFonts w:hint="eastAsia" w:ascii="仿宋" w:hAnsi="仿宋" w:eastAsia="仿宋"/>
              </w:rPr>
              <w:t>运输汽油的车辆</w:t>
            </w:r>
          </w:p>
        </w:tc>
        <w:tc>
          <w:tcPr>
            <w:tcW w:w="3308" w:type="dxa"/>
            <w:tcBorders>
              <w:top w:val="single" w:color="000000" w:sz="4" w:space="0"/>
              <w:left w:val="single" w:color="000000" w:sz="4" w:space="0"/>
              <w:right w:val="single" w:color="auto" w:sz="4" w:space="0"/>
            </w:tcBorders>
          </w:tcPr>
          <w:p>
            <w:pPr>
              <w:rPr>
                <w:rFonts w:ascii="仿宋" w:hAnsi="仿宋" w:eastAsia="仿宋"/>
                <w:sz w:val="15"/>
                <w:szCs w:val="15"/>
              </w:rPr>
            </w:pPr>
          </w:p>
          <w:p>
            <w:pPr>
              <w:rPr>
                <w:rFonts w:ascii="仿宋" w:hAnsi="仿宋" w:eastAsia="仿宋"/>
                <w:sz w:val="15"/>
                <w:szCs w:val="15"/>
              </w:rPr>
            </w:pPr>
          </w:p>
          <w:p>
            <w:pPr>
              <w:rPr>
                <w:rFonts w:ascii="仿宋" w:hAnsi="仿宋" w:eastAsia="仿宋"/>
                <w:sz w:val="15"/>
                <w:szCs w:val="15"/>
              </w:rPr>
            </w:pPr>
          </w:p>
          <w:p>
            <w:pPr>
              <w:rPr>
                <w:rFonts w:ascii="仿宋" w:hAnsi="仿宋" w:eastAsia="仿宋"/>
                <w:sz w:val="15"/>
                <w:szCs w:val="15"/>
              </w:rPr>
            </w:pPr>
            <w:r>
              <w:rPr>
                <w:rFonts w:hint="eastAsia" w:ascii="仿宋" w:hAnsi="仿宋" w:eastAsia="仿宋"/>
                <w:sz w:val="18"/>
                <w:szCs w:val="18"/>
              </w:rPr>
              <w:t>1、检查汽油经营企业的《海南经济特区汽油批发企业购进汽油申报单》； 2、检查运输汽油运输车辆的《海南省交通规费征稽局运输汽油监管凭证》。</w:t>
            </w:r>
          </w:p>
        </w:tc>
        <w:tc>
          <w:tcPr>
            <w:tcW w:w="1923" w:type="dxa"/>
            <w:tcBorders>
              <w:top w:val="single" w:color="000000" w:sz="4" w:space="0"/>
              <w:left w:val="single" w:color="auto" w:sz="4" w:space="0"/>
              <w:right w:val="single" w:color="auto" w:sz="4" w:space="0"/>
            </w:tcBorders>
          </w:tcPr>
          <w:p>
            <w:pPr>
              <w:rPr>
                <w:rFonts w:ascii="仿宋" w:hAnsi="仿宋" w:eastAsia="仿宋"/>
                <w:sz w:val="15"/>
                <w:szCs w:val="15"/>
              </w:rPr>
            </w:pPr>
          </w:p>
          <w:p>
            <w:pPr>
              <w:rPr>
                <w:rFonts w:ascii="仿宋" w:hAnsi="仿宋" w:eastAsia="仿宋"/>
                <w:sz w:val="15"/>
                <w:szCs w:val="15"/>
              </w:rPr>
            </w:pPr>
          </w:p>
          <w:p>
            <w:pPr>
              <w:rPr>
                <w:rFonts w:ascii="仿宋" w:hAnsi="仿宋" w:eastAsia="仿宋"/>
                <w:sz w:val="18"/>
                <w:szCs w:val="18"/>
              </w:rPr>
            </w:pPr>
            <w:r>
              <w:rPr>
                <w:rFonts w:hint="eastAsia" w:ascii="仿宋" w:hAnsi="仿宋" w:eastAsia="仿宋"/>
                <w:sz w:val="18"/>
                <w:szCs w:val="18"/>
              </w:rPr>
              <w:t>1、是否有《海南经济特区汽油批发企业购进汽油申报单》</w:t>
            </w:r>
            <w:r>
              <w:rPr>
                <w:rFonts w:ascii="仿宋" w:hAnsi="仿宋" w:eastAsia="仿宋"/>
                <w:sz w:val="18"/>
                <w:szCs w:val="18"/>
              </w:rPr>
              <w:t>：有</w:t>
            </w:r>
            <w:r>
              <w:rPr>
                <w:rFonts w:hint="eastAsia" w:ascii="仿宋" w:hAnsi="仿宋" w:eastAsia="仿宋"/>
                <w:sz w:val="18"/>
                <w:szCs w:val="18"/>
              </w:rPr>
              <w:t>□；无□。</w:t>
            </w:r>
          </w:p>
          <w:p>
            <w:pPr>
              <w:rPr>
                <w:rFonts w:ascii="仿宋" w:hAnsi="仿宋" w:eastAsia="仿宋"/>
                <w:sz w:val="15"/>
                <w:szCs w:val="15"/>
              </w:rPr>
            </w:pPr>
            <w:r>
              <w:rPr>
                <w:rFonts w:hint="eastAsia" w:ascii="仿宋" w:hAnsi="仿宋" w:eastAsia="仿宋"/>
                <w:sz w:val="18"/>
                <w:szCs w:val="18"/>
              </w:rPr>
              <w:t>2、是否有《海南省交通规费征稽局运输汽油监管凭证》：有□；无□。</w:t>
            </w:r>
          </w:p>
        </w:tc>
        <w:tc>
          <w:tcPr>
            <w:tcW w:w="1375" w:type="dxa"/>
            <w:tcBorders>
              <w:top w:val="single" w:color="000000" w:sz="4" w:space="0"/>
              <w:left w:val="single" w:color="auto" w:sz="4" w:space="0"/>
              <w:right w:val="single" w:color="auto" w:sz="4" w:space="0"/>
            </w:tcBorders>
          </w:tcPr>
          <w:p>
            <w:pPr>
              <w:widowControl/>
              <w:jc w:val="left"/>
              <w:rPr>
                <w:rFonts w:ascii="宋体" w:hAnsi="宋体"/>
              </w:rPr>
            </w:pPr>
          </w:p>
          <w:p>
            <w:pPr>
              <w:widowControl/>
              <w:jc w:val="left"/>
              <w:rPr>
                <w:rFonts w:ascii="宋体" w:hAnsi="宋体"/>
              </w:rPr>
            </w:pPr>
          </w:p>
          <w:p>
            <w:pPr>
              <w:widowControl/>
              <w:jc w:val="left"/>
            </w:pPr>
          </w:p>
          <w:p>
            <w:pPr>
              <w:widowControl/>
              <w:jc w:val="left"/>
            </w:pPr>
          </w:p>
          <w:p>
            <w:pPr>
              <w:widowControl/>
              <w:jc w:val="left"/>
            </w:pPr>
          </w:p>
          <w:p>
            <w:pPr>
              <w:widowControl/>
              <w:jc w:val="left"/>
            </w:pPr>
          </w:p>
          <w:p>
            <w:pPr>
              <w:widowControl/>
              <w:jc w:val="left"/>
              <w:rPr>
                <w:rFonts w:ascii="宋体" w:hAnsi="宋体"/>
              </w:rPr>
            </w:pPr>
          </w:p>
          <w:p>
            <w:pPr>
              <w:widowControl/>
              <w:jc w:val="left"/>
              <w:rPr>
                <w:rFonts w:ascii="宋体" w:hAnsi="宋体"/>
              </w:rPr>
            </w:pPr>
          </w:p>
          <w:p>
            <w:pPr>
              <w:rPr>
                <w:rFonts w:ascii="宋体" w:hAnsi="宋体"/>
              </w:rPr>
            </w:pPr>
          </w:p>
        </w:tc>
        <w:tc>
          <w:tcPr>
            <w:tcW w:w="939" w:type="dxa"/>
            <w:tcBorders>
              <w:top w:val="single" w:color="auto" w:sz="4" w:space="0"/>
              <w:left w:val="single" w:color="auto" w:sz="4" w:space="0"/>
              <w:right w:val="single" w:color="000000" w:sz="4" w:space="0"/>
            </w:tcBorders>
          </w:tcPr>
          <w:p>
            <w:pPr>
              <w:widowControl/>
              <w:jc w:val="left"/>
            </w:pPr>
          </w:p>
          <w:p>
            <w:pPr>
              <w:widowControl/>
              <w:jc w:val="left"/>
            </w:pPr>
          </w:p>
          <w:p>
            <w:pPr>
              <w:widowControl/>
              <w:jc w:val="left"/>
            </w:pPr>
          </w:p>
          <w:p>
            <w:pPr>
              <w:widowControl/>
              <w:jc w:val="left"/>
            </w:pPr>
          </w:p>
          <w:p>
            <w:pPr>
              <w:widowControl/>
              <w:jc w:val="left"/>
              <w:rPr>
                <w:rFonts w:ascii="宋体" w:hAnsi="宋体"/>
              </w:rPr>
            </w:pPr>
          </w:p>
          <w:p>
            <w:pPr>
              <w:widowControl/>
              <w:jc w:val="left"/>
              <w:rPr>
                <w:rFonts w:ascii="宋体" w:hAnsi="宋体"/>
              </w:rPr>
            </w:pPr>
          </w:p>
          <w:p>
            <w:pPr>
              <w:rPr>
                <w:rFonts w:ascii="宋体" w:hAnsi="宋体"/>
              </w:rPr>
            </w:pPr>
          </w:p>
        </w:tc>
      </w:tr>
    </w:tbl>
    <w:p>
      <w:pPr>
        <w:rPr>
          <w:rFonts w:ascii="仿宋" w:hAnsi="仿宋" w:eastAsia="仿宋"/>
        </w:rPr>
      </w:pPr>
    </w:p>
    <w:p>
      <w:pPr>
        <w:rPr>
          <w:rFonts w:ascii="仿宋" w:hAnsi="仿宋" w:eastAsia="仿宋"/>
        </w:rPr>
      </w:pPr>
      <w:r>
        <w:rPr>
          <w:rFonts w:hint="eastAsia" w:ascii="仿宋" w:hAnsi="仿宋" w:eastAsia="仿宋"/>
        </w:rPr>
        <w:t>执法人员（签名）及执法证号码：</w:t>
      </w:r>
      <w:r>
        <w:rPr>
          <w:rFonts w:ascii="仿宋" w:hAnsi="仿宋" w:eastAsia="仿宋"/>
        </w:rPr>
        <w:t xml:space="preserve">                   </w:t>
      </w:r>
      <w:r>
        <w:rPr>
          <w:rFonts w:hint="eastAsia" w:ascii="仿宋" w:hAnsi="仿宋" w:eastAsia="仿宋"/>
        </w:rPr>
        <w:t xml:space="preserve">                               被抽查单位签名（盖章）：</w:t>
      </w:r>
    </w:p>
    <w:p/>
    <w:p/>
    <w:p/>
    <w:p>
      <w:pPr>
        <w:ind w:firstLine="3780" w:firstLineChars="1800"/>
      </w:pPr>
      <w:r>
        <w:rPr>
          <w:rFonts w:hint="eastAsia" w:ascii="宋体" w:hAnsi="宋体"/>
          <w:szCs w:val="21"/>
        </w:rPr>
        <w:t>（本表格一式两份：第一联为征稽部门存根，第二联交企业存档）</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5YzM2NjBkMzFiN2Y1Yjg4NmM0OTY1ZmI2ZjBmMGQifQ=="/>
  </w:docVars>
  <w:rsids>
    <w:rsidRoot w:val="00007005"/>
    <w:rsid w:val="00007005"/>
    <w:rsid w:val="0024700F"/>
    <w:rsid w:val="002B22EB"/>
    <w:rsid w:val="003E3034"/>
    <w:rsid w:val="003E42EB"/>
    <w:rsid w:val="00416DF8"/>
    <w:rsid w:val="004B04BC"/>
    <w:rsid w:val="006419FE"/>
    <w:rsid w:val="007A7448"/>
    <w:rsid w:val="00895599"/>
    <w:rsid w:val="00A97D33"/>
    <w:rsid w:val="00AB06CF"/>
    <w:rsid w:val="00CD44D3"/>
    <w:rsid w:val="00DA7700"/>
    <w:rsid w:val="00DB3B4C"/>
    <w:rsid w:val="06AE6069"/>
    <w:rsid w:val="21DD050C"/>
    <w:rsid w:val="3B023801"/>
    <w:rsid w:val="460B1D06"/>
    <w:rsid w:val="483E5A6A"/>
    <w:rsid w:val="52F61A97"/>
    <w:rsid w:val="548968E9"/>
    <w:rsid w:val="54FC05DC"/>
    <w:rsid w:val="564B1E33"/>
    <w:rsid w:val="5EAF44CA"/>
    <w:rsid w:val="5ED266CE"/>
    <w:rsid w:val="606B1307"/>
    <w:rsid w:val="6CF91160"/>
    <w:rsid w:val="759E4716"/>
    <w:rsid w:val="79931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1278</Words>
  <Characters>1288</Characters>
  <Lines>7</Lines>
  <Paragraphs>2</Paragraphs>
  <TotalTime>2</TotalTime>
  <ScaleCrop>false</ScaleCrop>
  <LinksUpToDate>false</LinksUpToDate>
  <CharactersWithSpaces>1610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2018-03-15T08:09:00Z</dcterms:created>
  <dc:creator>郑敏</dc:creator>
  <cp:lastModifiedBy>梁圣</cp:lastModifiedBy>
  <cp:lastPrinted>2020-04-14T07:26:00Z</cp:lastPrinted>
  <dcterms:modified xsi:type="dcterms:W3CDTF">2023-03-01T06:33:42Z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8B8C21A4C6DD4FE18CCFB3044242A8AE</vt:lpwstr>
  </property>
</Properties>
</file>