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3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处于报停状态的柴油机动车辆</w:t>
      </w:r>
      <w:r>
        <w:rPr>
          <w:b/>
          <w:sz w:val="32"/>
          <w:szCs w:val="32"/>
        </w:rPr>
        <w:t>随机抽查情况反馈表</w:t>
      </w:r>
      <w:bookmarkEnd w:id="0"/>
    </w:p>
    <w:p>
      <w:pPr>
        <w:rPr>
          <w:sz w:val="18"/>
          <w:szCs w:val="18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被抽查人（市场主体）：</w:t>
      </w:r>
      <w:r>
        <w:rPr>
          <w:rFonts w:ascii="仿宋" w:hAnsi="仿宋" w:eastAsia="仿宋"/>
        </w:rPr>
        <w:t xml:space="preserve">                                                                                </w:t>
      </w:r>
      <w:r>
        <w:rPr>
          <w:rFonts w:hint="eastAsia" w:ascii="仿宋" w:hAnsi="仿宋" w:eastAsia="仿宋"/>
        </w:rPr>
        <w:t>抽查时间：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 xml:space="preserve"> 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 xml:space="preserve">    </w:t>
      </w:r>
      <w:r>
        <w:rPr>
          <w:rFonts w:hint="eastAsia" w:ascii="仿宋" w:hAnsi="仿宋" w:eastAsia="仿宋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721"/>
        <w:gridCol w:w="3136"/>
        <w:gridCol w:w="1609"/>
        <w:gridCol w:w="3027"/>
        <w:gridCol w:w="1814"/>
        <w:gridCol w:w="1438"/>
        <w:gridCol w:w="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抽查项目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抽查依据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rPr>
                <w:rFonts w:hint="eastAsia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/>
                <w:b/>
                <w:sz w:val="24"/>
              </w:rPr>
            </w:pPr>
          </w:p>
          <w:p>
            <w:pPr>
              <w:ind w:firstLine="241" w:firstLineChars="1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抽查</w:t>
            </w:r>
            <w:r>
              <w:rPr>
                <w:rFonts w:hint="eastAsia"/>
                <w:b/>
                <w:sz w:val="24"/>
                <w:lang w:val="en-US" w:eastAsia="zh-CN"/>
              </w:rPr>
              <w:t>对象</w:t>
            </w:r>
          </w:p>
          <w:p>
            <w:p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（车牌号及所属单位）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抽查内容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抽查情况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存在问题及</w:t>
            </w:r>
            <w:r>
              <w:rPr>
                <w:rFonts w:hint="eastAsia"/>
                <w:b/>
                <w:sz w:val="24"/>
              </w:rPr>
              <w:t>处理意见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对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抽查对象的等次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t>1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ind w:firstLine="1890" w:firstLineChars="9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</w:rPr>
              <w:t>对在本经济特区内</w:t>
            </w:r>
            <w:r>
              <w:rPr>
                <w:rFonts w:hint="eastAsia" w:ascii="仿宋" w:hAnsi="仿宋" w:eastAsia="仿宋"/>
                <w:lang w:val="en-US" w:eastAsia="zh-CN"/>
              </w:rPr>
              <w:t>柴油机动车辆恢复行驶未办理缴费或启征手续的检查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《海南经济特区机动车辆通行附加费征收管理条例》（2010年9月20日海南省人民代表大会常务委员会公告第54号）第九条 本经济特区柴油机动车辆缴费义务人应当按照下列起始日期在10日内到车籍所在地征稽机构办理机动车辆通行附加费缴费登记，自登记之日起缴费: （一）新购置的车辆自领取牌证之日起；（二）外省转籍至本省的车辆自转入登记之日起；（三）被盗抢的车辆自追回之日起。第二十七条 违反本条例第九条第二款，柴油机动车辆恢复行驶未办理缴费或启征手续的，由征稽机构处该车月缴费额1倍以上3倍以下的罚款。</w:t>
            </w: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处于报停状态的柴油机动车辆</w:t>
            </w:r>
          </w:p>
          <w:p>
            <w:pPr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1、检查柴油车辆缴费企业（大中型）的《海南经济特区机动车辆通行附加费缴费》凭证《海南省非税收入一般缴款书》； 2、查询征稽机构征费系统中柴油车辆缴费企业（大中型）的缴费记录； 3、《车辆报停单》。</w:t>
            </w: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</w:p>
          <w:p>
            <w:pPr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报停车辆恢复行驶是否办理缴费：办理□；未办理□。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956310</wp:posOffset>
                </wp:positionV>
                <wp:extent cx="4000500" cy="29718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本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表格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均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一式两份：第一联为征稽部门存根，第二联交企业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留存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档）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95.7pt;margin-top:75.3pt;height:23.4pt;width:315pt;z-index:251660288;mso-width-relative:page;mso-height-relative:page;" filled="f" stroked="f" coordsize="21600,21600" o:gfxdata="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Xpq01wAA&#10;AAoBAAAPAAAAAAAAAAEAIAAAACIAAABkcnMvZG93bnJldi54bWxQSwECFAAUAAAACACHTuJAoV4R&#10;1a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/>
                          <w:szCs w:val="21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本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表格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均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一式两份：第一联为征稽部门存根，第二联交企业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留存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</w:rPr>
        <w:t>执法人员（签名）及执法证号码：</w:t>
      </w:r>
      <w:r>
        <w:rPr>
          <w:rFonts w:ascii="仿宋" w:hAnsi="仿宋" w:eastAsia="仿宋"/>
        </w:rPr>
        <w:t xml:space="preserve">                   </w:t>
      </w:r>
      <w:r>
        <w:rPr>
          <w:rFonts w:hint="eastAsia" w:ascii="仿宋" w:hAnsi="仿宋" w:eastAsia="仿宋"/>
        </w:rPr>
        <w:t xml:space="preserve">                               被抽查单位签名（盖章）：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414655</wp:posOffset>
                </wp:positionV>
                <wp:extent cx="4000500" cy="29718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0pt;margin-top:32.65pt;height:23.4pt;width:315pt;z-index:251659264;mso-width-relative:page;mso-height-relative:page;" filled="f" stroked="f" coordsize="21600,21600" o:gfxdata="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Xpq01wAA&#10;AAoBAAAPAAAAAAAAAAEAIAAAACIAAABkcnMvZG93bnJldi54bWxQSwECFAAUAAAACACHTuJA4cjQ&#10;gK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lang w:val="en-US" w:eastAsia="zh-CN"/>
        </w:rPr>
        <w:t xml:space="preserve">                         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YzM2NjBkMzFiN2Y1Yjg4NmM0OTY1ZmI2ZjBmMGQifQ=="/>
  </w:docVars>
  <w:rsids>
    <w:rsidRoot w:val="008C14B3"/>
    <w:rsid w:val="00015CCB"/>
    <w:rsid w:val="000B4005"/>
    <w:rsid w:val="000F473F"/>
    <w:rsid w:val="002A0A6C"/>
    <w:rsid w:val="0035663A"/>
    <w:rsid w:val="0040407F"/>
    <w:rsid w:val="005B04AB"/>
    <w:rsid w:val="006376E8"/>
    <w:rsid w:val="008C14B3"/>
    <w:rsid w:val="00957185"/>
    <w:rsid w:val="00B667DA"/>
    <w:rsid w:val="00CD58D7"/>
    <w:rsid w:val="00FE17DA"/>
    <w:rsid w:val="058644B7"/>
    <w:rsid w:val="05907784"/>
    <w:rsid w:val="127C4DBC"/>
    <w:rsid w:val="12A14823"/>
    <w:rsid w:val="12A502ED"/>
    <w:rsid w:val="12C406B0"/>
    <w:rsid w:val="13EB3FA7"/>
    <w:rsid w:val="16DF048E"/>
    <w:rsid w:val="19AA220F"/>
    <w:rsid w:val="1BBF5171"/>
    <w:rsid w:val="1BF34341"/>
    <w:rsid w:val="1C410C6D"/>
    <w:rsid w:val="1C662D65"/>
    <w:rsid w:val="1D6750DA"/>
    <w:rsid w:val="1D9C6312"/>
    <w:rsid w:val="1E7828DC"/>
    <w:rsid w:val="1F952792"/>
    <w:rsid w:val="216655B5"/>
    <w:rsid w:val="22D60519"/>
    <w:rsid w:val="24D416ED"/>
    <w:rsid w:val="24F44C86"/>
    <w:rsid w:val="25511D58"/>
    <w:rsid w:val="26780E4B"/>
    <w:rsid w:val="283F2E30"/>
    <w:rsid w:val="29832C3F"/>
    <w:rsid w:val="2A5A1A2F"/>
    <w:rsid w:val="2B3264F9"/>
    <w:rsid w:val="2C0C0B07"/>
    <w:rsid w:val="2C9C5ED3"/>
    <w:rsid w:val="2D104627"/>
    <w:rsid w:val="2E141EF5"/>
    <w:rsid w:val="2F8638E8"/>
    <w:rsid w:val="326A2A2B"/>
    <w:rsid w:val="33E67E90"/>
    <w:rsid w:val="37E1109A"/>
    <w:rsid w:val="38481310"/>
    <w:rsid w:val="3A931974"/>
    <w:rsid w:val="3F7942AE"/>
    <w:rsid w:val="41856F3A"/>
    <w:rsid w:val="45115464"/>
    <w:rsid w:val="45BB72AE"/>
    <w:rsid w:val="4A007AA5"/>
    <w:rsid w:val="4E6D5042"/>
    <w:rsid w:val="4F824AB9"/>
    <w:rsid w:val="5572737D"/>
    <w:rsid w:val="5C563555"/>
    <w:rsid w:val="64264155"/>
    <w:rsid w:val="64A62BA0"/>
    <w:rsid w:val="67780823"/>
    <w:rsid w:val="68024591"/>
    <w:rsid w:val="6C1F2834"/>
    <w:rsid w:val="6F342212"/>
    <w:rsid w:val="6F651FD5"/>
    <w:rsid w:val="70646C88"/>
    <w:rsid w:val="71947DD4"/>
    <w:rsid w:val="71ED251E"/>
    <w:rsid w:val="730E028E"/>
    <w:rsid w:val="73204103"/>
    <w:rsid w:val="74934EEE"/>
    <w:rsid w:val="76201C13"/>
    <w:rsid w:val="76D60DE0"/>
    <w:rsid w:val="7848533C"/>
    <w:rsid w:val="7C920181"/>
    <w:rsid w:val="7D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537</Characters>
  <Lines>8</Lines>
  <Paragraphs>2</Paragraphs>
  <TotalTime>3</TotalTime>
  <ScaleCrop>false</ScaleCrop>
  <LinksUpToDate>false</LinksUpToDate>
  <CharactersWithSpaces>712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2018-03-19T08:08:00Z</dcterms:created>
  <dc:creator>郑敏</dc:creator>
  <cp:lastModifiedBy>梁圣</cp:lastModifiedBy>
  <dcterms:modified xsi:type="dcterms:W3CDTF">2023-03-01T02:09:42Z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66044DB34D384274A5C5551683430E84</vt:lpwstr>
  </property>
</Properties>
</file>