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0" w:rsidRDefault="0054482E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6A6E50" w:rsidRDefault="006A6E50">
      <w:pPr>
        <w:spacing w:line="578" w:lineRule="exact"/>
        <w:rPr>
          <w:szCs w:val="32"/>
        </w:rPr>
      </w:pPr>
    </w:p>
    <w:p w:rsidR="006A6E50" w:rsidRDefault="006A6E50">
      <w:pPr>
        <w:spacing w:line="578" w:lineRule="exact"/>
        <w:rPr>
          <w:szCs w:val="32"/>
        </w:rPr>
      </w:pPr>
    </w:p>
    <w:p w:rsidR="006A6E50" w:rsidRDefault="006A6E50">
      <w:pPr>
        <w:spacing w:line="578" w:lineRule="exact"/>
        <w:rPr>
          <w:rFonts w:hAnsi="宋体"/>
          <w:szCs w:val="32"/>
        </w:rPr>
      </w:pPr>
    </w:p>
    <w:p w:rsidR="006A6E50" w:rsidRDefault="006A6E50">
      <w:pPr>
        <w:spacing w:line="578" w:lineRule="exact"/>
        <w:rPr>
          <w:rFonts w:hAnsi="宋体"/>
          <w:szCs w:val="32"/>
        </w:rPr>
      </w:pPr>
    </w:p>
    <w:p w:rsidR="006A6E50" w:rsidRDefault="0054482E">
      <w:pPr>
        <w:spacing w:line="578" w:lineRule="exact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评价类型：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sym w:font="Wingdings 2" w:char="0052"/>
      </w:r>
      <w:r>
        <w:rPr>
          <w:rFonts w:ascii="仿宋_GB2312" w:hAnsi="仿宋_GB2312" w:cs="仿宋_GB2312" w:hint="eastAsia"/>
          <w:sz w:val="32"/>
          <w:szCs w:val="32"/>
          <w:u w:val="single"/>
        </w:rPr>
        <w:t>完成结果评价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综合事务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项目单位：</w:t>
      </w:r>
      <w:r>
        <w:rPr>
          <w:rFonts w:ascii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海南省交通规费征稽局海口分局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海南省交通规费征稽局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评价时间：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202</w:t>
      </w:r>
      <w:r w:rsidR="00C3339E">
        <w:rPr>
          <w:rFonts w:ascii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 w:rsidR="00C3339E">
        <w:rPr>
          <w:rFonts w:ascii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日至</w:t>
      </w:r>
      <w:r>
        <w:rPr>
          <w:rFonts w:ascii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 w:rsidR="00C3339E">
        <w:rPr>
          <w:rFonts w:ascii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 w:val="32"/>
          <w:szCs w:val="32"/>
          <w:u w:val="single"/>
        </w:rPr>
        <w:t>31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日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组织方式：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财政部门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sym w:font="Wingdings 2" w:char="0052"/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评价机构：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中介机构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hAnsi="仿宋_GB2312" w:cs="仿宋_GB2312" w:hint="eastAsia"/>
          <w:sz w:val="32"/>
          <w:szCs w:val="32"/>
          <w:u w:val="single"/>
        </w:rPr>
        <w:t>专家组</w:t>
      </w:r>
      <w:r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pacing w:val="-20"/>
          <w:sz w:val="32"/>
          <w:szCs w:val="32"/>
          <w:u w:val="single"/>
        </w:rPr>
        <w:sym w:font="Wingdings 2" w:char="0052"/>
      </w:r>
      <w:r>
        <w:rPr>
          <w:rFonts w:ascii="仿宋_GB2312" w:hAnsi="仿宋_GB2312" w:cs="仿宋_GB2312" w:hint="eastAsia"/>
          <w:sz w:val="32"/>
          <w:szCs w:val="32"/>
          <w:u w:val="single"/>
        </w:rPr>
        <w:t>项目单位评价组</w:t>
      </w:r>
    </w:p>
    <w:p w:rsidR="006A6E50" w:rsidRDefault="006A6E50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6A6E50" w:rsidRDefault="006A6E50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6A6E50" w:rsidRDefault="006A6E50">
      <w:pPr>
        <w:spacing w:line="578" w:lineRule="exact"/>
        <w:rPr>
          <w:rFonts w:ascii="仿宋_GB2312" w:hAnsi="仿宋_GB2312" w:cs="仿宋_GB2312"/>
          <w:sz w:val="32"/>
          <w:szCs w:val="32"/>
        </w:rPr>
      </w:pPr>
    </w:p>
    <w:p w:rsidR="006A6E50" w:rsidRDefault="006A6E50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6A6E50" w:rsidRDefault="006A6E50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</w:p>
    <w:p w:rsidR="006A6E50" w:rsidRDefault="0054482E">
      <w:pPr>
        <w:spacing w:line="578" w:lineRule="exact"/>
        <w:ind w:left="1600" w:hangingChars="500" w:hanging="16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hAnsi="仿宋_GB2312" w:cs="仿宋_GB2312" w:hint="eastAsia"/>
          <w:sz w:val="32"/>
          <w:szCs w:val="32"/>
        </w:rPr>
        <w:t>评价单位（盖章）：</w:t>
      </w:r>
      <w:r>
        <w:rPr>
          <w:rFonts w:ascii="仿宋_GB2312" w:hAnsi="仿宋_GB2312" w:cs="仿宋_GB2312" w:hint="eastAsia"/>
          <w:sz w:val="32"/>
          <w:szCs w:val="32"/>
          <w:u w:val="single"/>
        </w:rPr>
        <w:t>海南省交通规费征稽局海口分局</w:t>
      </w:r>
    </w:p>
    <w:p w:rsidR="006A6E50" w:rsidRDefault="0054482E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hAnsi="仿宋_GB2312" w:cs="仿宋_GB2312" w:hint="eastAsia"/>
          <w:sz w:val="32"/>
          <w:szCs w:val="32"/>
        </w:rPr>
        <w:t>上报时间：</w:t>
      </w:r>
      <w:r>
        <w:rPr>
          <w:rFonts w:ascii="仿宋_GB2312" w:hAnsi="仿宋_GB2312" w:cs="仿宋_GB2312" w:hint="eastAsia"/>
          <w:sz w:val="32"/>
          <w:szCs w:val="32"/>
        </w:rPr>
        <w:t>2021</w:t>
      </w:r>
      <w:r>
        <w:rPr>
          <w:rFonts w:ascii="仿宋_GB2312" w:hAnsi="仿宋_GB2312" w:cs="仿宋_GB2312" w:hint="eastAsia"/>
          <w:sz w:val="32"/>
          <w:szCs w:val="32"/>
        </w:rPr>
        <w:t>年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月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日</w:t>
      </w:r>
    </w:p>
    <w:p w:rsidR="006A6E50" w:rsidRDefault="006A6E50"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 w:rsidR="006A6E50" w:rsidRDefault="006A6E50"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 w:rsidR="006A6E50" w:rsidRDefault="006A6E50">
      <w:pPr>
        <w:pStyle w:val="a3"/>
        <w:spacing w:line="578" w:lineRule="exact"/>
        <w:ind w:firstLineChars="600" w:firstLine="2650"/>
        <w:rPr>
          <w:rFonts w:ascii="黑体" w:eastAsia="黑体" w:hAnsi="宋体"/>
          <w:b/>
          <w:bCs/>
          <w:sz w:val="44"/>
          <w:szCs w:val="44"/>
        </w:rPr>
      </w:pPr>
    </w:p>
    <w:p w:rsidR="006A6E50" w:rsidRDefault="0054482E">
      <w:pPr>
        <w:pStyle w:val="a3"/>
        <w:spacing w:line="578" w:lineRule="exact"/>
        <w:ind w:firstLineChars="600" w:firstLine="2650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项目绩效目标表</w:t>
      </w:r>
    </w:p>
    <w:p w:rsidR="006A6E50" w:rsidRDefault="0054482E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项目名称：</w:t>
      </w:r>
      <w:r>
        <w:rPr>
          <w:rFonts w:ascii="宋体" w:eastAsia="宋体" w:hAnsi="宋体" w:hint="eastAsia"/>
          <w:b/>
          <w:bCs/>
          <w:sz w:val="24"/>
        </w:rPr>
        <w:t>综合事务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2297"/>
        <w:gridCol w:w="1097"/>
        <w:gridCol w:w="1389"/>
        <w:gridCol w:w="1406"/>
        <w:gridCol w:w="1371"/>
        <w:gridCol w:w="1429"/>
      </w:tblGrid>
      <w:tr w:rsidR="006A6E50">
        <w:trPr>
          <w:trHeight w:val="693"/>
          <w:jc w:val="center"/>
        </w:trPr>
        <w:tc>
          <w:tcPr>
            <w:tcW w:w="883" w:type="dxa"/>
            <w:vMerge w:val="restart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指标类型</w:t>
            </w:r>
          </w:p>
        </w:tc>
        <w:tc>
          <w:tcPr>
            <w:tcW w:w="2297" w:type="dxa"/>
            <w:vMerge w:val="restart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指标名称</w:t>
            </w:r>
          </w:p>
        </w:tc>
        <w:tc>
          <w:tcPr>
            <w:tcW w:w="1097" w:type="dxa"/>
            <w:vMerge w:val="restart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绩效目标</w:t>
            </w:r>
          </w:p>
        </w:tc>
        <w:tc>
          <w:tcPr>
            <w:tcW w:w="5595" w:type="dxa"/>
            <w:gridSpan w:val="4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绩效标准</w:t>
            </w:r>
          </w:p>
        </w:tc>
      </w:tr>
      <w:tr w:rsidR="006A6E50">
        <w:trPr>
          <w:trHeight w:val="465"/>
          <w:jc w:val="center"/>
        </w:trPr>
        <w:tc>
          <w:tcPr>
            <w:tcW w:w="883" w:type="dxa"/>
            <w:vMerge/>
            <w:noWrap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297" w:type="dxa"/>
            <w:vMerge/>
            <w:noWrap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97" w:type="dxa"/>
            <w:vMerge/>
            <w:noWrap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89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优</w:t>
            </w:r>
          </w:p>
        </w:tc>
        <w:tc>
          <w:tcPr>
            <w:tcW w:w="1406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良</w:t>
            </w:r>
          </w:p>
        </w:tc>
        <w:tc>
          <w:tcPr>
            <w:tcW w:w="1371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</w:t>
            </w:r>
          </w:p>
        </w:tc>
        <w:tc>
          <w:tcPr>
            <w:tcW w:w="1429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差</w:t>
            </w:r>
          </w:p>
        </w:tc>
      </w:tr>
      <w:tr w:rsidR="006A6E50">
        <w:trPr>
          <w:trHeight w:val="517"/>
          <w:jc w:val="center"/>
        </w:trPr>
        <w:tc>
          <w:tcPr>
            <w:tcW w:w="883" w:type="dxa"/>
            <w:vMerge w:val="restart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产出指标</w:t>
            </w: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POS</w:t>
            </w:r>
            <w:r>
              <w:rPr>
                <w:rFonts w:ascii="宋体" w:eastAsia="宋体" w:hAnsi="宋体" w:cs="宋体" w:hint="eastAsia"/>
                <w:szCs w:val="21"/>
              </w:rPr>
              <w:t>机刷卡次数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50000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45000-50000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40000-45000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35000-40000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30000-25000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</w:tr>
      <w:tr w:rsidR="006A6E50">
        <w:trPr>
          <w:trHeight w:val="690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服务车主短信发出数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100000</w:t>
            </w:r>
            <w:r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100000</w:t>
            </w:r>
            <w:r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80000-90000</w:t>
            </w:r>
            <w:r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70000-80000</w:t>
            </w:r>
            <w:r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60000-50000</w:t>
            </w:r>
            <w:r>
              <w:rPr>
                <w:rFonts w:ascii="宋体" w:eastAsia="宋体" w:hAnsi="宋体" w:cs="宋体" w:hint="eastAsia"/>
                <w:szCs w:val="21"/>
              </w:rPr>
              <w:t>条</w:t>
            </w:r>
          </w:p>
        </w:tc>
      </w:tr>
      <w:tr w:rsidR="006A6E50">
        <w:trPr>
          <w:trHeight w:val="724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联合稽查行动出动人次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szCs w:val="21"/>
              </w:rPr>
              <w:t>人次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szCs w:val="21"/>
              </w:rPr>
              <w:t>人次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60-90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30-50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</w:tr>
      <w:tr w:rsidR="006A6E50">
        <w:trPr>
          <w:trHeight w:val="511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宣传广告费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Cs w:val="21"/>
              </w:rPr>
              <w:t>次</w:t>
            </w:r>
          </w:p>
        </w:tc>
      </w:tr>
      <w:tr w:rsidR="006A6E50">
        <w:trPr>
          <w:trHeight w:val="760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欠费催缴信函邮寄数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526</w:t>
            </w:r>
            <w:r>
              <w:rPr>
                <w:rFonts w:ascii="宋体" w:eastAsia="宋体" w:hAnsi="宋体" w:cs="宋体" w:hint="eastAsia"/>
                <w:szCs w:val="21"/>
              </w:rPr>
              <w:t>封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526</w:t>
            </w:r>
            <w:r>
              <w:rPr>
                <w:rFonts w:ascii="宋体" w:eastAsia="宋体" w:hAnsi="宋体" w:cs="宋体" w:hint="eastAsia"/>
                <w:szCs w:val="21"/>
              </w:rPr>
              <w:t>封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500-526</w:t>
            </w:r>
            <w:r>
              <w:rPr>
                <w:rFonts w:ascii="宋体" w:eastAsia="宋体" w:hAnsi="宋体" w:cs="宋体" w:hint="eastAsia"/>
                <w:szCs w:val="21"/>
              </w:rPr>
              <w:t>封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400-500</w:t>
            </w:r>
            <w:r>
              <w:rPr>
                <w:rFonts w:ascii="宋体" w:eastAsia="宋体" w:hAnsi="宋体" w:cs="宋体" w:hint="eastAsia"/>
                <w:szCs w:val="21"/>
              </w:rPr>
              <w:t>封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300-400</w:t>
            </w:r>
            <w:r>
              <w:rPr>
                <w:rFonts w:ascii="宋体" w:eastAsia="宋体" w:hAnsi="宋体" w:cs="宋体" w:hint="eastAsia"/>
                <w:szCs w:val="21"/>
              </w:rPr>
              <w:t>封</w:t>
            </w:r>
          </w:p>
        </w:tc>
      </w:tr>
      <w:tr w:rsidR="006A6E50">
        <w:trPr>
          <w:trHeight w:val="693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征稽二站租赁费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个月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个月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10-11</w:t>
            </w:r>
            <w:r>
              <w:rPr>
                <w:rFonts w:ascii="宋体" w:eastAsia="宋体" w:hAnsi="宋体" w:cs="宋体" w:hint="eastAsia"/>
                <w:szCs w:val="21"/>
              </w:rPr>
              <w:t>个月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9-10</w:t>
            </w:r>
            <w:r>
              <w:rPr>
                <w:rFonts w:ascii="宋体" w:eastAsia="宋体" w:hAnsi="宋体" w:cs="宋体" w:hint="eastAsia"/>
                <w:szCs w:val="21"/>
              </w:rPr>
              <w:t>个月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8-9</w:t>
            </w:r>
            <w:r>
              <w:rPr>
                <w:rFonts w:ascii="宋体" w:eastAsia="宋体" w:hAnsi="宋体" w:cs="宋体" w:hint="eastAsia"/>
                <w:szCs w:val="21"/>
              </w:rPr>
              <w:t>个月</w:t>
            </w:r>
          </w:p>
        </w:tc>
      </w:tr>
      <w:tr w:rsidR="006A6E50">
        <w:trPr>
          <w:trHeight w:val="414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宣传横幅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幅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幅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10-13</w:t>
            </w:r>
            <w:r>
              <w:rPr>
                <w:rFonts w:ascii="宋体" w:eastAsia="宋体" w:hAnsi="宋体" w:cs="宋体" w:hint="eastAsia"/>
                <w:szCs w:val="21"/>
              </w:rPr>
              <w:t>幅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8-10</w:t>
            </w:r>
            <w:r>
              <w:rPr>
                <w:rFonts w:ascii="宋体" w:eastAsia="宋体" w:hAnsi="宋体" w:cs="宋体" w:hint="eastAsia"/>
                <w:szCs w:val="21"/>
              </w:rPr>
              <w:t>幅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7-8</w:t>
            </w:r>
            <w:r>
              <w:rPr>
                <w:rFonts w:ascii="宋体" w:eastAsia="宋体" w:hAnsi="宋体" w:cs="宋体" w:hint="eastAsia"/>
                <w:szCs w:val="21"/>
              </w:rPr>
              <w:t>幅</w:t>
            </w:r>
          </w:p>
        </w:tc>
      </w:tr>
      <w:tr w:rsidR="006A6E50">
        <w:trPr>
          <w:trHeight w:val="709"/>
          <w:jc w:val="center"/>
        </w:trPr>
        <w:tc>
          <w:tcPr>
            <w:tcW w:w="883" w:type="dxa"/>
            <w:vMerge w:val="restart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成效指标</w:t>
            </w: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罚没收入与去年同比增加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4%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4%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3-4%</w:t>
            </w:r>
          </w:p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2-3%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1-2%</w:t>
            </w:r>
          </w:p>
        </w:tc>
      </w:tr>
      <w:tr w:rsidR="006A6E50">
        <w:trPr>
          <w:trHeight w:val="693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服务对象满意度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95%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95-100%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90-95%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85-90%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80-85%</w:t>
            </w:r>
          </w:p>
        </w:tc>
      </w:tr>
      <w:tr w:rsidR="006A6E50">
        <w:trPr>
          <w:trHeight w:val="693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稽查目标达成率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95%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95-100%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90-95%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85-90%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80-85%</w:t>
            </w:r>
          </w:p>
        </w:tc>
      </w:tr>
      <w:tr w:rsidR="006A6E50">
        <w:trPr>
          <w:trHeight w:val="693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条例宣传知晓率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95%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95-100%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90-95%</w:t>
            </w: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85-90%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80-85%</w:t>
            </w:r>
          </w:p>
        </w:tc>
      </w:tr>
      <w:tr w:rsidR="006A6E50">
        <w:trPr>
          <w:trHeight w:val="967"/>
          <w:jc w:val="center"/>
        </w:trPr>
        <w:tc>
          <w:tcPr>
            <w:tcW w:w="883" w:type="dxa"/>
            <w:vMerge/>
            <w:noWrap/>
            <w:vAlign w:val="center"/>
          </w:tcPr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97" w:type="dxa"/>
            <w:noWrap/>
            <w:vAlign w:val="center"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通行附加费与去年同比增加</w:t>
            </w:r>
          </w:p>
        </w:tc>
        <w:tc>
          <w:tcPr>
            <w:tcW w:w="1097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4%</w:t>
            </w:r>
          </w:p>
        </w:tc>
        <w:tc>
          <w:tcPr>
            <w:tcW w:w="138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4%</w:t>
            </w:r>
          </w:p>
        </w:tc>
        <w:tc>
          <w:tcPr>
            <w:tcW w:w="1406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3-4%</w:t>
            </w:r>
          </w:p>
          <w:p w:rsidR="006A6E50" w:rsidRDefault="006A6E50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1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2-3%</w:t>
            </w:r>
          </w:p>
        </w:tc>
        <w:tc>
          <w:tcPr>
            <w:tcW w:w="1429" w:type="dxa"/>
            <w:noWrap/>
          </w:tcPr>
          <w:p w:rsidR="006A6E50" w:rsidRDefault="0054482E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1-2%</w:t>
            </w:r>
          </w:p>
        </w:tc>
      </w:tr>
    </w:tbl>
    <w:p w:rsidR="006A6E50" w:rsidRDefault="0054482E" w:rsidP="00C3339E">
      <w:pPr>
        <w:pStyle w:val="a3"/>
        <w:spacing w:line="578" w:lineRule="exact"/>
        <w:ind w:left="840" w:hangingChars="400" w:hanging="8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注：以预算批复的绩效目标为准填列。</w:t>
      </w:r>
    </w:p>
    <w:p w:rsidR="006A6E50" w:rsidRDefault="006A6E50">
      <w:pPr>
        <w:spacing w:line="578" w:lineRule="exact"/>
        <w:rPr>
          <w:sz w:val="24"/>
        </w:rPr>
      </w:pPr>
    </w:p>
    <w:p w:rsidR="006A6E50" w:rsidRDefault="0054482E">
      <w:pPr>
        <w:spacing w:line="578" w:lineRule="exact"/>
        <w:ind w:firstLineChars="600" w:firstLine="2650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项目基本信息表</w:t>
      </w:r>
    </w:p>
    <w:p w:rsidR="006A6E50" w:rsidRDefault="006A6E50"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 w:rsidR="006A6E50">
        <w:trPr>
          <w:gridBefore w:val="1"/>
          <w:wBefore w:w="23" w:type="dxa"/>
          <w:trHeight w:val="20"/>
          <w:jc w:val="center"/>
        </w:trPr>
        <w:tc>
          <w:tcPr>
            <w:tcW w:w="8770" w:type="dxa"/>
            <w:gridSpan w:val="20"/>
            <w:noWrap/>
            <w:vAlign w:val="center"/>
          </w:tcPr>
          <w:p w:rsidR="006A6E50" w:rsidRDefault="0054482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一、项目基本情况</w:t>
            </w:r>
          </w:p>
        </w:tc>
      </w:tr>
      <w:tr w:rsidR="006A6E5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3003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</w:t>
            </w:r>
          </w:p>
        </w:tc>
      </w:tr>
      <w:tr w:rsidR="006A6E5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张海鹏</w:t>
            </w:r>
          </w:p>
        </w:tc>
        <w:tc>
          <w:tcPr>
            <w:tcW w:w="3003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66565919</w:t>
            </w:r>
          </w:p>
        </w:tc>
      </w:tr>
      <w:tr w:rsidR="006A6E5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4778" w:type="dxa"/>
            <w:gridSpan w:val="11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海口市南沙路</w:t>
            </w:r>
            <w:r>
              <w:rPr>
                <w:rFonts w:ascii="宋体" w:eastAsia="宋体" w:hAnsi="宋体" w:hint="eastAsia"/>
                <w:szCs w:val="21"/>
              </w:rPr>
              <w:t>53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936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1197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570206</w:t>
            </w:r>
          </w:p>
        </w:tc>
      </w:tr>
      <w:tr w:rsidR="006A6E50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经常性项目（</w:t>
            </w:r>
            <w:r>
              <w:rPr>
                <w:rFonts w:ascii="Arial" w:eastAsia="宋体" w:hAnsi="Arial" w:cs="Arial"/>
                <w:szCs w:val="21"/>
              </w:rPr>
              <w:t>√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>一次性项目（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计划投资额</w:t>
            </w:r>
          </w:p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79.4</w:t>
            </w:r>
          </w:p>
        </w:tc>
        <w:tc>
          <w:tcPr>
            <w:tcW w:w="1799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实际到位资金（万元）</w:t>
            </w:r>
          </w:p>
        </w:tc>
        <w:tc>
          <w:tcPr>
            <w:tcW w:w="738" w:type="dxa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79.4</w:t>
            </w:r>
          </w:p>
        </w:tc>
        <w:tc>
          <w:tcPr>
            <w:tcW w:w="1711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79.4</w:t>
            </w: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其中：中央财政</w:t>
            </w:r>
          </w:p>
        </w:tc>
        <w:tc>
          <w:tcPr>
            <w:tcW w:w="738" w:type="dxa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省财政</w:t>
            </w:r>
          </w:p>
        </w:tc>
        <w:tc>
          <w:tcPr>
            <w:tcW w:w="738" w:type="dxa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79.4</w:t>
            </w:r>
          </w:p>
        </w:tc>
        <w:tc>
          <w:tcPr>
            <w:tcW w:w="1728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市县财政</w:t>
            </w:r>
          </w:p>
        </w:tc>
        <w:tc>
          <w:tcPr>
            <w:tcW w:w="738" w:type="dxa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738" w:type="dxa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8752" w:type="dxa"/>
            <w:gridSpan w:val="19"/>
            <w:noWrap/>
            <w:vAlign w:val="center"/>
          </w:tcPr>
          <w:p w:rsidR="006A6E50" w:rsidRDefault="0054482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绩效评价指标评分（参考）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得分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项目目标</w:t>
            </w:r>
            <w:r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</w:tr>
      <w:tr w:rsidR="006A6E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6A6E50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6E50" w:rsidRDefault="0054482E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96</w:t>
            </w: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4462" w:type="dxa"/>
            <w:gridSpan w:val="10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8763" w:type="dxa"/>
            <w:gridSpan w:val="19"/>
            <w:noWrap/>
            <w:vAlign w:val="center"/>
          </w:tcPr>
          <w:p w:rsidR="006A6E50" w:rsidRDefault="0054482E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三、评价人员</w:t>
            </w: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字</w:t>
            </w: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张海鹏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局长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520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林瑜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副局长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581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符绪标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副局长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朱海冰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办公室主任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周美玲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计财科科长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633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严铮晶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法规科科长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color w:val="A4A4A4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633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文阳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稽查科科长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color w:val="A4A4A4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633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许晓岗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征收科科长</w:t>
            </w: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海南省交通规费征稽局海口分局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color w:val="A4A4A4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633"/>
          <w:jc w:val="center"/>
        </w:trPr>
        <w:tc>
          <w:tcPr>
            <w:tcW w:w="1605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557" w:type="dxa"/>
            <w:gridSpan w:val="4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A4A4A4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A6E50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8763" w:type="dxa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6A6E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评价工作组组长（签字并单位盖章）：</w:t>
            </w:r>
          </w:p>
          <w:p w:rsidR="006A6E50" w:rsidRDefault="006A6E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6A6E50" w:rsidRDefault="0054482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6A6E50">
      <w:pPr>
        <w:jc w:val="center"/>
        <w:rPr>
          <w:rFonts w:ascii="黑体" w:eastAsia="黑体" w:hAnsi="黑体" w:cs="黑体"/>
          <w:sz w:val="44"/>
          <w:szCs w:val="44"/>
        </w:rPr>
      </w:pPr>
    </w:p>
    <w:p w:rsidR="006A6E50" w:rsidRDefault="0054482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海南省交通规费征稽局</w:t>
      </w:r>
    </w:p>
    <w:p w:rsidR="006A6E50" w:rsidRDefault="0054482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海口分局财政支出项目绩效评价报告</w:t>
      </w:r>
    </w:p>
    <w:p w:rsidR="006A6E50" w:rsidRDefault="006A6E50">
      <w:pPr>
        <w:rPr>
          <w:rFonts w:ascii="宋体" w:eastAsia="宋体" w:hAnsi="宋体" w:cs="宋体"/>
          <w:sz w:val="32"/>
          <w:szCs w:val="32"/>
        </w:rPr>
      </w:pPr>
    </w:p>
    <w:p w:rsidR="006A6E50" w:rsidRDefault="0054482E">
      <w:pPr>
        <w:ind w:firstLineChars="100" w:firstLine="3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一、项目概况</w:t>
      </w:r>
    </w:p>
    <w:p w:rsidR="006A6E50" w:rsidRDefault="0054482E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项目基本性质、用途和主要内容</w:t>
      </w:r>
    </w:p>
    <w:p w:rsidR="006A6E50" w:rsidRDefault="0054482E">
      <w:pPr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年度综合事务项目为省财政预算项目，主要用于解决我局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年违章查扣车辆保管费、稽查协查人员误餐费和差旅费、稽查用车的维修、油料费和保险费；解决第二征稽站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年房屋租赁费</w:t>
      </w:r>
      <w:r>
        <w:rPr>
          <w:rFonts w:ascii="宋体" w:eastAsia="宋体" w:hAnsi="宋体" w:cs="宋体" w:hint="eastAsia"/>
          <w:sz w:val="32"/>
          <w:szCs w:val="32"/>
        </w:rPr>
        <w:t>;</w:t>
      </w:r>
      <w:r>
        <w:rPr>
          <w:rFonts w:ascii="宋体" w:eastAsia="宋体" w:hAnsi="宋体" w:cs="宋体" w:hint="eastAsia"/>
          <w:sz w:val="32"/>
          <w:szCs w:val="32"/>
        </w:rPr>
        <w:t>通行附加费宣传与</w:t>
      </w:r>
      <w:r>
        <w:rPr>
          <w:rFonts w:ascii="宋体" w:eastAsia="宋体" w:hAnsi="宋体" w:cs="宋体" w:hint="eastAsia"/>
          <w:sz w:val="32"/>
          <w:szCs w:val="32"/>
        </w:rPr>
        <w:t>公</w:t>
      </w:r>
      <w:r>
        <w:rPr>
          <w:rFonts w:ascii="宋体" w:eastAsia="宋体" w:hAnsi="宋体" w:cs="宋体" w:hint="eastAsia"/>
          <w:sz w:val="32"/>
          <w:szCs w:val="32"/>
        </w:rPr>
        <w:t>告费</w:t>
      </w:r>
      <w:r>
        <w:rPr>
          <w:rFonts w:ascii="宋体" w:eastAsia="宋体" w:hAnsi="宋体" w:cs="宋体" w:hint="eastAsia"/>
          <w:sz w:val="32"/>
          <w:szCs w:val="32"/>
        </w:rPr>
        <w:t>, POS</w:t>
      </w:r>
      <w:r>
        <w:rPr>
          <w:rFonts w:ascii="宋体" w:eastAsia="宋体" w:hAnsi="宋体" w:cs="宋体" w:hint="eastAsia"/>
          <w:sz w:val="32"/>
          <w:szCs w:val="32"/>
        </w:rPr>
        <w:t>机刷卡通信费</w:t>
      </w:r>
      <w:r>
        <w:rPr>
          <w:rFonts w:ascii="宋体" w:eastAsia="宋体" w:hAnsi="宋体" w:cs="宋体" w:hint="eastAsia"/>
          <w:sz w:val="32"/>
          <w:szCs w:val="32"/>
        </w:rPr>
        <w:t>；</w:t>
      </w:r>
      <w:r>
        <w:rPr>
          <w:rFonts w:ascii="宋体" w:eastAsia="宋体" w:hAnsi="宋体" w:cs="宋体" w:hint="eastAsia"/>
          <w:sz w:val="32"/>
          <w:szCs w:val="32"/>
        </w:rPr>
        <w:t>缴费车辆</w:t>
      </w:r>
      <w:r>
        <w:rPr>
          <w:rFonts w:ascii="宋体" w:eastAsia="宋体" w:hAnsi="宋体" w:cs="宋体" w:hint="eastAsia"/>
          <w:sz w:val="32"/>
          <w:szCs w:val="32"/>
        </w:rPr>
        <w:t>短</w:t>
      </w:r>
      <w:r>
        <w:rPr>
          <w:rFonts w:ascii="宋体" w:eastAsia="宋体" w:hAnsi="宋体" w:cs="宋体" w:hint="eastAsia"/>
          <w:sz w:val="32"/>
          <w:szCs w:val="32"/>
        </w:rPr>
        <w:t>信提示</w:t>
      </w:r>
      <w:r>
        <w:rPr>
          <w:rFonts w:ascii="宋体" w:eastAsia="宋体" w:hAnsi="宋体" w:cs="宋体" w:hint="eastAsia"/>
          <w:sz w:val="32"/>
          <w:szCs w:val="32"/>
        </w:rPr>
        <w:t>及欠费车辆</w:t>
      </w:r>
      <w:r>
        <w:rPr>
          <w:rFonts w:ascii="宋体" w:eastAsia="宋体" w:hAnsi="宋体" w:cs="宋体" w:hint="eastAsia"/>
          <w:sz w:val="32"/>
          <w:szCs w:val="32"/>
        </w:rPr>
        <w:t>催缴</w:t>
      </w:r>
      <w:r>
        <w:rPr>
          <w:rFonts w:ascii="宋体" w:eastAsia="宋体" w:hAnsi="宋体" w:cs="宋体" w:hint="eastAsia"/>
          <w:sz w:val="32"/>
          <w:szCs w:val="32"/>
        </w:rPr>
        <w:t>信函邮寄费</w:t>
      </w:r>
      <w:r>
        <w:rPr>
          <w:rFonts w:ascii="宋体" w:eastAsia="宋体" w:hAnsi="宋体" w:cs="宋体" w:hint="eastAsia"/>
          <w:sz w:val="32"/>
          <w:szCs w:val="32"/>
        </w:rPr>
        <w:t>等。</w:t>
      </w:r>
    </w:p>
    <w:p w:rsidR="006A6E50" w:rsidRDefault="0054482E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项目绩效目标</w:t>
      </w:r>
    </w:p>
    <w:p w:rsidR="006A6E50" w:rsidRDefault="0054482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2020</w:t>
      </w:r>
      <w:r>
        <w:rPr>
          <w:rFonts w:ascii="宋体" w:eastAsia="宋体" w:hAnsi="宋体" w:cs="宋体" w:hint="eastAsia"/>
          <w:sz w:val="32"/>
          <w:szCs w:val="32"/>
        </w:rPr>
        <w:t>年度综合事务项目为经常性项目当年度目标。</w:t>
      </w:r>
    </w:p>
    <w:p w:rsidR="006A6E50" w:rsidRDefault="0054482E">
      <w:pPr>
        <w:spacing w:line="578" w:lineRule="exact"/>
        <w:outlineLvl w:val="0"/>
        <w:rPr>
          <w:rFonts w:ascii="宋体" w:eastAsia="宋体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项目资金使用及管理情况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（一）项目资金到位情况分析</w:t>
      </w:r>
    </w:p>
    <w:p w:rsidR="006A6E50" w:rsidRDefault="0054482E">
      <w:pPr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年度综合事务项目年初预算为</w:t>
      </w:r>
      <w:r>
        <w:rPr>
          <w:rFonts w:ascii="宋体" w:eastAsia="宋体" w:hAnsi="宋体" w:cs="宋体" w:hint="eastAsia"/>
          <w:sz w:val="32"/>
          <w:szCs w:val="32"/>
        </w:rPr>
        <w:t>79.4</w:t>
      </w:r>
      <w:r>
        <w:rPr>
          <w:rFonts w:ascii="宋体" w:eastAsia="宋体" w:hAnsi="宋体" w:cs="宋体" w:hint="eastAsia"/>
          <w:sz w:val="32"/>
          <w:szCs w:val="32"/>
        </w:rPr>
        <w:t>万元，实际到位</w:t>
      </w:r>
      <w:r>
        <w:rPr>
          <w:rFonts w:ascii="宋体" w:eastAsia="宋体" w:hAnsi="宋体" w:cs="宋体" w:hint="eastAsia"/>
          <w:sz w:val="32"/>
          <w:szCs w:val="32"/>
        </w:rPr>
        <w:t>79.4</w:t>
      </w:r>
      <w:r>
        <w:rPr>
          <w:rFonts w:ascii="宋体" w:eastAsia="宋体" w:hAnsi="宋体" w:cs="宋体" w:hint="eastAsia"/>
          <w:sz w:val="32"/>
          <w:szCs w:val="32"/>
        </w:rPr>
        <w:t>万元。资金来源于省财政资金，资金到位率</w:t>
      </w:r>
      <w:r>
        <w:rPr>
          <w:rFonts w:ascii="宋体" w:eastAsia="宋体" w:hAnsi="宋体" w:cs="宋体" w:hint="eastAsia"/>
          <w:sz w:val="32"/>
          <w:szCs w:val="32"/>
        </w:rPr>
        <w:t>100%</w:t>
      </w:r>
      <w:r>
        <w:rPr>
          <w:rFonts w:ascii="宋体" w:eastAsia="宋体" w:hAnsi="宋体" w:cs="宋体" w:hint="eastAsia"/>
          <w:sz w:val="32"/>
          <w:szCs w:val="32"/>
        </w:rPr>
        <w:t>，项目经费主要用于解决我局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年违章查扣车辆保管费、稽查协查人员误餐费和差旅费、稽查用车的维修、油料费和保险费；解决第二征稽站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年房屋租赁费；</w:t>
      </w:r>
      <w:r>
        <w:rPr>
          <w:rFonts w:ascii="宋体" w:eastAsia="宋体" w:hAnsi="宋体" w:cs="宋体" w:hint="eastAsia"/>
          <w:sz w:val="32"/>
          <w:szCs w:val="32"/>
        </w:rPr>
        <w:t>通行附加费宣传与</w:t>
      </w:r>
      <w:r>
        <w:rPr>
          <w:rFonts w:ascii="宋体" w:eastAsia="宋体" w:hAnsi="宋体" w:cs="宋体" w:hint="eastAsia"/>
          <w:sz w:val="32"/>
          <w:szCs w:val="32"/>
        </w:rPr>
        <w:t>公</w:t>
      </w:r>
      <w:r>
        <w:rPr>
          <w:rFonts w:ascii="宋体" w:eastAsia="宋体" w:hAnsi="宋体" w:cs="宋体" w:hint="eastAsia"/>
          <w:sz w:val="32"/>
          <w:szCs w:val="32"/>
        </w:rPr>
        <w:t>告费</w:t>
      </w:r>
      <w:r>
        <w:rPr>
          <w:rFonts w:ascii="宋体" w:eastAsia="宋体" w:hAnsi="宋体" w:cs="宋体" w:hint="eastAsia"/>
          <w:sz w:val="32"/>
          <w:szCs w:val="32"/>
        </w:rPr>
        <w:t>, POS</w:t>
      </w:r>
      <w:r>
        <w:rPr>
          <w:rFonts w:ascii="宋体" w:eastAsia="宋体" w:hAnsi="宋体" w:cs="宋体" w:hint="eastAsia"/>
          <w:sz w:val="32"/>
          <w:szCs w:val="32"/>
        </w:rPr>
        <w:t>机刷卡通信费、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缴费车辆</w:t>
      </w:r>
      <w:r>
        <w:rPr>
          <w:rFonts w:ascii="宋体" w:eastAsia="宋体" w:hAnsi="宋体" w:cs="宋体" w:hint="eastAsia"/>
          <w:sz w:val="32"/>
          <w:szCs w:val="32"/>
        </w:rPr>
        <w:t>短</w:t>
      </w:r>
      <w:r>
        <w:rPr>
          <w:rFonts w:ascii="宋体" w:eastAsia="宋体" w:hAnsi="宋体" w:cs="宋体" w:hint="eastAsia"/>
          <w:sz w:val="32"/>
          <w:szCs w:val="32"/>
        </w:rPr>
        <w:t>信提示</w:t>
      </w:r>
      <w:r>
        <w:rPr>
          <w:rFonts w:ascii="宋体" w:eastAsia="宋体" w:hAnsi="宋体" w:cs="宋体" w:hint="eastAsia"/>
          <w:sz w:val="32"/>
          <w:szCs w:val="32"/>
        </w:rPr>
        <w:t>及欠费车辆</w:t>
      </w:r>
      <w:r>
        <w:rPr>
          <w:rFonts w:ascii="宋体" w:eastAsia="宋体" w:hAnsi="宋体" w:cs="宋体" w:hint="eastAsia"/>
          <w:sz w:val="32"/>
          <w:szCs w:val="32"/>
        </w:rPr>
        <w:t>催缴</w:t>
      </w:r>
      <w:r>
        <w:rPr>
          <w:rFonts w:ascii="宋体" w:eastAsia="宋体" w:hAnsi="宋体" w:cs="宋体" w:hint="eastAsia"/>
          <w:sz w:val="32"/>
          <w:szCs w:val="32"/>
        </w:rPr>
        <w:t>信函邮寄</w:t>
      </w:r>
      <w:r>
        <w:rPr>
          <w:rFonts w:ascii="宋体" w:eastAsia="宋体" w:hAnsi="宋体" w:cs="宋体" w:hint="eastAsia"/>
          <w:sz w:val="32"/>
          <w:szCs w:val="32"/>
        </w:rPr>
        <w:t>费</w:t>
      </w:r>
      <w:r>
        <w:rPr>
          <w:rFonts w:ascii="宋体" w:eastAsia="宋体" w:hAnsi="宋体" w:cs="宋体" w:hint="eastAsia"/>
          <w:sz w:val="32"/>
          <w:szCs w:val="32"/>
        </w:rPr>
        <w:t>。</w:t>
      </w:r>
      <w:r>
        <w:rPr>
          <w:rFonts w:ascii="宋体" w:eastAsia="宋体" w:hAnsi="宋体" w:cs="宋体" w:hint="eastAsia"/>
          <w:sz w:val="32"/>
          <w:szCs w:val="32"/>
        </w:rPr>
        <w:t>资金到位及时，不存在影响项目进度的情况。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</w:t>
      </w:r>
      <w:r>
        <w:rPr>
          <w:rFonts w:ascii="仿宋_GB2312" w:hAnsi="仿宋_GB2312" w:cs="仿宋_GB2312" w:hint="eastAsia"/>
          <w:sz w:val="32"/>
          <w:szCs w:val="32"/>
        </w:rPr>
        <w:t>项目资金使用情况分析</w:t>
      </w:r>
    </w:p>
    <w:p w:rsidR="006A6E50" w:rsidRDefault="0054482E">
      <w:pPr>
        <w:spacing w:line="578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sz w:val="32"/>
          <w:szCs w:val="32"/>
        </w:rPr>
        <w:t>项目实际使用资金</w:t>
      </w:r>
      <w:r>
        <w:rPr>
          <w:rFonts w:ascii="仿宋_GB2312" w:hAnsi="仿宋_GB2312" w:cs="仿宋_GB2312" w:hint="eastAsia"/>
          <w:sz w:val="32"/>
          <w:szCs w:val="32"/>
        </w:rPr>
        <w:t xml:space="preserve">79.4 </w:t>
      </w:r>
      <w:r>
        <w:rPr>
          <w:rFonts w:ascii="仿宋_GB2312" w:hAnsi="仿宋_GB2312" w:cs="仿宋_GB2312" w:hint="eastAsia"/>
          <w:sz w:val="32"/>
          <w:szCs w:val="32"/>
        </w:rPr>
        <w:t>万元，资金使用率为</w:t>
      </w:r>
      <w:r>
        <w:rPr>
          <w:rFonts w:ascii="仿宋_GB2312" w:hAnsi="仿宋_GB2312" w:cs="仿宋_GB2312" w:hint="eastAsia"/>
          <w:sz w:val="32"/>
          <w:szCs w:val="32"/>
        </w:rPr>
        <w:t xml:space="preserve"> 100% 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全部用于</w:t>
      </w:r>
      <w:r>
        <w:rPr>
          <w:rFonts w:ascii="宋体" w:eastAsia="宋体" w:hAnsi="宋体" w:cs="宋体" w:hint="eastAsia"/>
          <w:sz w:val="32"/>
          <w:szCs w:val="32"/>
        </w:rPr>
        <w:t>解决我局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年违章查扣车辆保管费、稽查协查人员误餐费和差旅费、稽查用车的维修、油料费和保险费和第二征稽站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年房屋租赁费，</w:t>
      </w:r>
      <w:r>
        <w:rPr>
          <w:rFonts w:ascii="宋体" w:eastAsia="宋体" w:hAnsi="宋体" w:cs="宋体" w:hint="eastAsia"/>
          <w:sz w:val="32"/>
          <w:szCs w:val="32"/>
        </w:rPr>
        <w:t>通行附加费宣传与</w:t>
      </w:r>
      <w:r>
        <w:rPr>
          <w:rFonts w:ascii="宋体" w:eastAsia="宋体" w:hAnsi="宋体" w:cs="宋体" w:hint="eastAsia"/>
          <w:sz w:val="32"/>
          <w:szCs w:val="32"/>
        </w:rPr>
        <w:t>公</w:t>
      </w:r>
      <w:r>
        <w:rPr>
          <w:rFonts w:ascii="宋体" w:eastAsia="宋体" w:hAnsi="宋体" w:cs="宋体" w:hint="eastAsia"/>
          <w:sz w:val="32"/>
          <w:szCs w:val="32"/>
        </w:rPr>
        <w:t>告费</w:t>
      </w:r>
      <w:r>
        <w:rPr>
          <w:rFonts w:ascii="宋体" w:eastAsia="宋体" w:hAnsi="宋体" w:cs="宋体" w:hint="eastAsia"/>
          <w:sz w:val="32"/>
          <w:szCs w:val="32"/>
        </w:rPr>
        <w:t>, POS</w:t>
      </w:r>
      <w:r>
        <w:rPr>
          <w:rFonts w:ascii="宋体" w:eastAsia="宋体" w:hAnsi="宋体" w:cs="宋体" w:hint="eastAsia"/>
          <w:sz w:val="32"/>
          <w:szCs w:val="32"/>
        </w:rPr>
        <w:t>机刷卡通信费、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缴费车辆</w:t>
      </w:r>
      <w:r>
        <w:rPr>
          <w:rFonts w:ascii="宋体" w:eastAsia="宋体" w:hAnsi="宋体" w:cs="宋体" w:hint="eastAsia"/>
          <w:sz w:val="32"/>
          <w:szCs w:val="32"/>
        </w:rPr>
        <w:t>短</w:t>
      </w:r>
      <w:r>
        <w:rPr>
          <w:rFonts w:ascii="宋体" w:eastAsia="宋体" w:hAnsi="宋体" w:cs="宋体" w:hint="eastAsia"/>
          <w:sz w:val="32"/>
          <w:szCs w:val="32"/>
        </w:rPr>
        <w:t>信提示</w:t>
      </w:r>
      <w:r>
        <w:rPr>
          <w:rFonts w:ascii="宋体" w:eastAsia="宋体" w:hAnsi="宋体" w:cs="宋体" w:hint="eastAsia"/>
          <w:sz w:val="32"/>
          <w:szCs w:val="32"/>
        </w:rPr>
        <w:t>及欠费车辆</w:t>
      </w:r>
      <w:r>
        <w:rPr>
          <w:rFonts w:ascii="宋体" w:eastAsia="宋体" w:hAnsi="宋体" w:cs="宋体" w:hint="eastAsia"/>
          <w:sz w:val="32"/>
          <w:szCs w:val="32"/>
        </w:rPr>
        <w:t>催缴</w:t>
      </w:r>
      <w:r>
        <w:rPr>
          <w:rFonts w:ascii="宋体" w:eastAsia="宋体" w:hAnsi="宋体" w:cs="宋体" w:hint="eastAsia"/>
          <w:sz w:val="32"/>
          <w:szCs w:val="32"/>
        </w:rPr>
        <w:t>信函邮寄</w:t>
      </w:r>
      <w:r>
        <w:rPr>
          <w:rFonts w:ascii="宋体" w:eastAsia="宋体" w:hAnsi="宋体" w:cs="宋体" w:hint="eastAsia"/>
          <w:sz w:val="32"/>
          <w:szCs w:val="32"/>
        </w:rPr>
        <w:t>费</w:t>
      </w:r>
      <w:r>
        <w:rPr>
          <w:rFonts w:ascii="宋体" w:eastAsia="宋体" w:hAnsi="宋体" w:cs="宋体" w:hint="eastAsia"/>
          <w:sz w:val="32"/>
          <w:szCs w:val="32"/>
        </w:rPr>
        <w:t>’。资金支出依据合规，无虚列项目支出，不存在截留、挤挪用等情况。</w:t>
      </w:r>
    </w:p>
    <w:p w:rsidR="006A6E50" w:rsidRDefault="0054482E">
      <w:pPr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（三）</w:t>
      </w:r>
      <w:r>
        <w:rPr>
          <w:rFonts w:ascii="仿宋_GB2312" w:hAnsi="仿宋_GB2312" w:cs="仿宋_GB2312" w:hint="eastAsia"/>
          <w:sz w:val="32"/>
          <w:szCs w:val="32"/>
        </w:rPr>
        <w:t>项目资金管理情况分析</w:t>
      </w:r>
    </w:p>
    <w:p w:rsidR="006A6E50" w:rsidRDefault="0054482E">
      <w:pPr>
        <w:spacing w:line="578" w:lineRule="exact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     2020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年度综合事务项目经费使用符合相关经费管理规定和项目管理规定，严格执行“收支两条线”管理原则，坚持“量入为出和专款专用”的原则，根据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2020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年度目标分解，将资金分配到具体单个项目上，实际使用过程中，严格执行财务制度、会计核算规范，加强项目资金的管控，是财政资金发挥最大效益。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三、项目组织实施情况</w:t>
      </w:r>
    </w:p>
    <w:p w:rsidR="006A6E50" w:rsidRDefault="0054482E">
      <w:pPr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（一）项目组织情况分析</w:t>
      </w:r>
    </w:p>
    <w:p w:rsidR="006A6E50" w:rsidRDefault="0054482E">
      <w:pPr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为了保证征稽设备的正常运转，征收工作的管理和开展，各项专项业务费用的合理开支，更好、更完善地进行交通规费征收工作</w:t>
      </w:r>
    </w:p>
    <w:p w:rsidR="006A6E50" w:rsidRDefault="0054482E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（二）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项目管理情况分析</w:t>
      </w:r>
    </w:p>
    <w:p w:rsidR="006A6E50" w:rsidRDefault="0054482E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hAnsi="仿宋_GB2312" w:cs="仿宋"/>
          <w:kern w:val="0"/>
          <w:sz w:val="32"/>
          <w:szCs w:val="32"/>
        </w:rPr>
      </w:pPr>
      <w:r>
        <w:rPr>
          <w:rFonts w:hAnsi="仿宋_GB2312" w:cs="仿宋" w:hint="eastAsia"/>
          <w:kern w:val="0"/>
          <w:sz w:val="32"/>
          <w:szCs w:val="32"/>
        </w:rPr>
        <w:t>为确保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年度预算执行工作顺利开展，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年制定了《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20</w:t>
      </w:r>
      <w:r>
        <w:rPr>
          <w:rFonts w:hAnsi="仿宋_GB2312" w:cs="仿宋" w:hint="eastAsia"/>
          <w:kern w:val="0"/>
          <w:sz w:val="32"/>
          <w:szCs w:val="32"/>
        </w:rPr>
        <w:t>年项目预算支出执行情况表》，每项责任目标包含预算数、已完成数、结余数、完成率、预计完成时间、责任科室和责任人</w:t>
      </w:r>
      <w:r>
        <w:rPr>
          <w:rFonts w:hAnsi="仿宋_GB2312" w:cs="仿宋" w:hint="eastAsia"/>
          <w:kern w:val="0"/>
          <w:sz w:val="32"/>
          <w:szCs w:val="32"/>
        </w:rPr>
        <w:t>7</w:t>
      </w:r>
      <w:r>
        <w:rPr>
          <w:rFonts w:hAnsi="仿宋_GB2312" w:cs="仿宋" w:hint="eastAsia"/>
          <w:kern w:val="0"/>
          <w:sz w:val="32"/>
          <w:szCs w:val="32"/>
        </w:rPr>
        <w:t>项内容。责任领导和各</w:t>
      </w:r>
      <w:r>
        <w:rPr>
          <w:rFonts w:hAnsi="仿宋_GB2312" w:cs="仿宋" w:hint="eastAsia"/>
          <w:kern w:val="0"/>
          <w:sz w:val="32"/>
          <w:szCs w:val="32"/>
        </w:rPr>
        <w:t>科</w:t>
      </w:r>
      <w:r>
        <w:rPr>
          <w:rFonts w:hAnsi="仿宋_GB2312" w:cs="仿宋" w:hint="eastAsia"/>
          <w:kern w:val="0"/>
          <w:sz w:val="32"/>
          <w:szCs w:val="32"/>
        </w:rPr>
        <w:t>室责任人依据该表认真履行职责，加强组织协调和督促检查，及时总结工作，加</w:t>
      </w:r>
      <w:r>
        <w:rPr>
          <w:rFonts w:hAnsi="仿宋_GB2312" w:cs="仿宋" w:hint="eastAsia"/>
          <w:kern w:val="0"/>
          <w:sz w:val="32"/>
          <w:szCs w:val="32"/>
        </w:rPr>
        <w:lastRenderedPageBreak/>
        <w:t>强日常管理，经过机关全体干部职工的努力，各项目标任务圆满完成。</w:t>
      </w:r>
    </w:p>
    <w:p w:rsidR="006A6E50" w:rsidRDefault="0054482E">
      <w:pPr>
        <w:spacing w:line="578" w:lineRule="exact"/>
        <w:ind w:firstLineChars="300" w:firstLine="96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四、项目绩效情况</w:t>
      </w:r>
    </w:p>
    <w:p w:rsidR="006A6E50" w:rsidRDefault="0054482E">
      <w:pPr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（一）项目绩效目标完成情况分析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1. 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项目的经济性分析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）项目成本（预算）控制情况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我分局征费稽查管理项目预算总成本投入资金</w:t>
      </w:r>
      <w:r>
        <w:rPr>
          <w:rFonts w:hAnsi="仿宋_GB2312" w:hint="eastAsia"/>
          <w:kern w:val="0"/>
          <w:sz w:val="32"/>
          <w:szCs w:val="32"/>
        </w:rPr>
        <w:t>79.4</w:t>
      </w:r>
      <w:r>
        <w:rPr>
          <w:rFonts w:hAnsi="仿宋_GB2312" w:cs="仿宋_GB2312" w:hint="eastAsia"/>
          <w:kern w:val="0"/>
          <w:sz w:val="32"/>
          <w:szCs w:val="32"/>
        </w:rPr>
        <w:t>万元，实际使用资金为</w:t>
      </w:r>
      <w:r>
        <w:rPr>
          <w:rFonts w:hAnsi="仿宋_GB2312" w:cs="仿宋_GB2312" w:hint="eastAsia"/>
          <w:kern w:val="0"/>
          <w:sz w:val="32"/>
          <w:szCs w:val="32"/>
        </w:rPr>
        <w:t>79.4</w:t>
      </w:r>
      <w:r>
        <w:rPr>
          <w:rFonts w:hAnsi="仿宋_GB2312" w:cs="仿宋_GB2312" w:hint="eastAsia"/>
          <w:kern w:val="0"/>
          <w:sz w:val="32"/>
          <w:szCs w:val="32"/>
        </w:rPr>
        <w:t>万元，项目成本有效控制在预算之内。</w:t>
      </w:r>
    </w:p>
    <w:p w:rsidR="006A6E50" w:rsidRDefault="0054482E">
      <w:pPr>
        <w:numPr>
          <w:ilvl w:val="0"/>
          <w:numId w:val="2"/>
        </w:num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项目成本（预算）节约情况</w:t>
      </w:r>
    </w:p>
    <w:p w:rsidR="006A6E50" w:rsidRDefault="0054482E">
      <w:pPr>
        <w:tabs>
          <w:tab w:val="left" w:pos="640"/>
        </w:tabs>
        <w:adjustRightInd w:val="0"/>
        <w:snapToGrid w:val="0"/>
        <w:spacing w:line="360" w:lineRule="auto"/>
        <w:ind w:firstLineChars="200" w:firstLine="640"/>
        <w:outlineLvl w:val="0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各子项目均根据实际情况分配项目使用资金，在项目的采购、实施费用进行严格规划和分配，合理利用项目投入的资金。</w:t>
      </w:r>
    </w:p>
    <w:p w:rsidR="006A6E50" w:rsidRDefault="0054482E">
      <w:pPr>
        <w:tabs>
          <w:tab w:val="left" w:pos="640"/>
        </w:tabs>
        <w:spacing w:line="578" w:lineRule="exact"/>
        <w:ind w:firstLineChars="300" w:firstLine="96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2. 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项目的效率性分析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）项目的实施进度</w:t>
      </w:r>
    </w:p>
    <w:p w:rsidR="006A6E50" w:rsidRDefault="0054482E">
      <w:pPr>
        <w:spacing w:line="578" w:lineRule="exact"/>
        <w:ind w:firstLineChars="200" w:firstLine="640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我分局在任务下达后，确定各子项目负责机构及执行方式：征收</w:t>
      </w:r>
      <w:r>
        <w:rPr>
          <w:rFonts w:hAnsi="仿宋_GB2312" w:hint="eastAsia"/>
          <w:kern w:val="0"/>
          <w:sz w:val="32"/>
          <w:szCs w:val="32"/>
        </w:rPr>
        <w:t>科</w:t>
      </w:r>
      <w:r>
        <w:rPr>
          <w:rFonts w:hAnsi="仿宋_GB2312" w:hint="eastAsia"/>
          <w:kern w:val="0"/>
          <w:sz w:val="32"/>
          <w:szCs w:val="32"/>
        </w:rPr>
        <w:t>提示催缴费和</w:t>
      </w:r>
      <w:r>
        <w:rPr>
          <w:rFonts w:hAnsi="仿宋_GB2312" w:hint="eastAsia"/>
          <w:kern w:val="0"/>
          <w:sz w:val="32"/>
          <w:szCs w:val="32"/>
        </w:rPr>
        <w:t>POS</w:t>
      </w:r>
      <w:r>
        <w:rPr>
          <w:rFonts w:hAnsi="仿宋_GB2312" w:hint="eastAsia"/>
          <w:kern w:val="0"/>
          <w:sz w:val="32"/>
          <w:szCs w:val="32"/>
        </w:rPr>
        <w:t>机通信费按月支出；稽查</w:t>
      </w:r>
      <w:r>
        <w:rPr>
          <w:rFonts w:hAnsi="仿宋_GB2312" w:hint="eastAsia"/>
          <w:kern w:val="0"/>
          <w:sz w:val="32"/>
          <w:szCs w:val="32"/>
        </w:rPr>
        <w:t>科</w:t>
      </w:r>
      <w:r>
        <w:rPr>
          <w:rFonts w:hAnsi="仿宋_GB2312" w:hint="eastAsia"/>
          <w:kern w:val="0"/>
          <w:sz w:val="32"/>
          <w:szCs w:val="32"/>
        </w:rPr>
        <w:t>稽查误餐费和油料费</w:t>
      </w:r>
      <w:r>
        <w:rPr>
          <w:rFonts w:hAnsi="仿宋_GB2312" w:hint="eastAsia"/>
          <w:kern w:val="0"/>
          <w:sz w:val="32"/>
          <w:szCs w:val="32"/>
        </w:rPr>
        <w:t>及暂扣车辆停车费</w:t>
      </w:r>
      <w:r>
        <w:rPr>
          <w:rFonts w:hAnsi="仿宋_GB2312" w:hint="eastAsia"/>
          <w:kern w:val="0"/>
          <w:sz w:val="32"/>
          <w:szCs w:val="32"/>
        </w:rPr>
        <w:t>根据实际工作需要开支；</w:t>
      </w:r>
      <w:r>
        <w:rPr>
          <w:rFonts w:hAnsi="仿宋_GB2312" w:hint="eastAsia"/>
          <w:kern w:val="0"/>
          <w:sz w:val="32"/>
          <w:szCs w:val="32"/>
        </w:rPr>
        <w:t>法规科</w:t>
      </w:r>
      <w:r>
        <w:rPr>
          <w:rFonts w:hAnsi="仿宋_GB2312" w:hint="eastAsia"/>
          <w:kern w:val="0"/>
          <w:sz w:val="32"/>
          <w:szCs w:val="32"/>
        </w:rPr>
        <w:t>负责宣传通告费</w:t>
      </w:r>
      <w:r>
        <w:rPr>
          <w:rFonts w:hAnsi="仿宋_GB2312" w:hint="eastAsia"/>
          <w:kern w:val="0"/>
          <w:sz w:val="32"/>
          <w:szCs w:val="32"/>
        </w:rPr>
        <w:t>；</w:t>
      </w:r>
      <w:r>
        <w:rPr>
          <w:rFonts w:hAnsi="仿宋_GB2312" w:hint="eastAsia"/>
          <w:kern w:val="0"/>
          <w:sz w:val="32"/>
          <w:szCs w:val="32"/>
        </w:rPr>
        <w:t>行政办公室</w:t>
      </w:r>
      <w:r>
        <w:rPr>
          <w:rFonts w:hAnsi="仿宋_GB2312" w:hint="eastAsia"/>
          <w:kern w:val="0"/>
          <w:sz w:val="32"/>
          <w:szCs w:val="32"/>
        </w:rPr>
        <w:t>负责</w:t>
      </w:r>
      <w:r>
        <w:rPr>
          <w:rFonts w:hAnsi="仿宋_GB2312" w:hint="eastAsia"/>
          <w:kern w:val="0"/>
          <w:sz w:val="32"/>
          <w:szCs w:val="32"/>
        </w:rPr>
        <w:t>房屋租赁费，</w:t>
      </w:r>
      <w:r>
        <w:rPr>
          <w:rFonts w:hAnsi="仿宋_GB2312" w:hint="eastAsia"/>
          <w:kern w:val="0"/>
          <w:sz w:val="32"/>
          <w:szCs w:val="32"/>
        </w:rPr>
        <w:t>分上、下半年两次</w:t>
      </w:r>
      <w:r>
        <w:rPr>
          <w:rFonts w:hAnsi="仿宋_GB2312" w:hint="eastAsia"/>
          <w:kern w:val="0"/>
          <w:sz w:val="32"/>
          <w:szCs w:val="32"/>
        </w:rPr>
        <w:t>支出。</w:t>
      </w:r>
    </w:p>
    <w:p w:rsidR="006A6E50" w:rsidRDefault="0054482E">
      <w:pPr>
        <w:numPr>
          <w:ilvl w:val="0"/>
          <w:numId w:val="2"/>
        </w:num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项目完成质量</w:t>
      </w:r>
    </w:p>
    <w:p w:rsidR="006A6E50" w:rsidRDefault="0054482E">
      <w:pPr>
        <w:adjustRightInd w:val="0"/>
        <w:snapToGrid w:val="0"/>
        <w:spacing w:line="360" w:lineRule="auto"/>
        <w:ind w:firstLineChars="200" w:firstLine="640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征费稽查管理各子项目实施过程中，各子项目负责</w:t>
      </w:r>
      <w:r>
        <w:rPr>
          <w:rFonts w:hAnsi="仿宋_GB2312" w:hint="eastAsia"/>
          <w:kern w:val="0"/>
          <w:sz w:val="32"/>
          <w:szCs w:val="32"/>
        </w:rPr>
        <w:t>科</w:t>
      </w:r>
      <w:r>
        <w:rPr>
          <w:rFonts w:hAnsi="仿宋_GB2312" w:hint="eastAsia"/>
          <w:kern w:val="0"/>
          <w:sz w:val="32"/>
          <w:szCs w:val="32"/>
        </w:rPr>
        <w:t>室对项目</w:t>
      </w:r>
      <w:r>
        <w:rPr>
          <w:rFonts w:hAnsi="仿宋_GB2312" w:hint="eastAsia"/>
          <w:kern w:val="0"/>
          <w:sz w:val="32"/>
          <w:szCs w:val="32"/>
        </w:rPr>
        <w:t>实施过程时时跟踪进度，对其项目实施的质量进行监</w:t>
      </w:r>
      <w:r>
        <w:rPr>
          <w:rFonts w:hAnsi="仿宋_GB2312" w:hint="eastAsia"/>
          <w:kern w:val="0"/>
          <w:sz w:val="32"/>
          <w:szCs w:val="32"/>
        </w:rPr>
        <w:lastRenderedPageBreak/>
        <w:t>督。通过严格的管理，使项目基本按质量要求完成，达到优良的标准。</w:t>
      </w:r>
    </w:p>
    <w:p w:rsidR="006A6E50" w:rsidRDefault="0054482E">
      <w:pPr>
        <w:spacing w:line="578" w:lineRule="exact"/>
        <w:ind w:firstLineChars="300" w:firstLine="96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3. 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项目的</w:t>
      </w:r>
      <w:r>
        <w:rPr>
          <w:rFonts w:ascii="仿宋_GB2312" w:hAnsi="仿宋_GB2312" w:cs="仿宋_GB2312" w:hint="eastAsia"/>
          <w:sz w:val="32"/>
          <w:szCs w:val="32"/>
        </w:rPr>
        <w:t>效益性分析</w:t>
      </w:r>
    </w:p>
    <w:p w:rsidR="006A6E50" w:rsidRDefault="0054482E">
      <w:pPr>
        <w:spacing w:line="578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）项目预期目标完成程度</w:t>
      </w:r>
    </w:p>
    <w:p w:rsidR="006A6E50" w:rsidRDefault="0054482E">
      <w:pPr>
        <w:autoSpaceDE w:val="0"/>
        <w:autoSpaceDN w:val="0"/>
        <w:adjustRightInd w:val="0"/>
        <w:spacing w:line="360" w:lineRule="auto"/>
        <w:ind w:firstLineChars="400" w:firstLine="1280"/>
        <w:jc w:val="left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根据设立的绩效目标，较好完成了任务。</w:t>
      </w:r>
    </w:p>
    <w:p w:rsidR="006A6E50" w:rsidRDefault="00544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>项目实施对经济和社会的影响</w:t>
      </w:r>
    </w:p>
    <w:p w:rsidR="006A6E50" w:rsidRDefault="0054482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hAnsi="仿宋_GB2312"/>
          <w:kern w:val="0"/>
          <w:sz w:val="32"/>
          <w:szCs w:val="32"/>
        </w:rPr>
      </w:pPr>
      <w:r>
        <w:rPr>
          <w:rFonts w:hAnsi="仿宋_GB2312" w:hint="eastAsia"/>
          <w:kern w:val="0"/>
          <w:sz w:val="32"/>
          <w:szCs w:val="32"/>
        </w:rPr>
        <w:t xml:space="preserve">    </w:t>
      </w:r>
      <w:r>
        <w:rPr>
          <w:rFonts w:hAnsi="仿宋_GB2312" w:hint="eastAsia"/>
          <w:kern w:val="0"/>
          <w:sz w:val="32"/>
          <w:szCs w:val="32"/>
        </w:rPr>
        <w:t>项目内容符合我省征稽系统建设要求，项目开展工作对我省征稽事业有较大促进作用，</w:t>
      </w:r>
      <w:r>
        <w:rPr>
          <w:rFonts w:hAnsi="仿宋_GB2312" w:hint="eastAsia"/>
          <w:kern w:val="0"/>
          <w:sz w:val="32"/>
          <w:szCs w:val="32"/>
        </w:rPr>
        <w:t>提高了征稽从业人员工作能力、工作质量，优化了征稽工作环境，提升征稽形象，征费稽查管理项目已达到项目预期目标。</w:t>
      </w:r>
    </w:p>
    <w:p w:rsidR="006A6E50" w:rsidRDefault="0054482E">
      <w:pPr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4. 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项目的可持续性分析</w:t>
      </w:r>
    </w:p>
    <w:p w:rsidR="006A6E50" w:rsidRDefault="0054482E">
      <w:pPr>
        <w:pStyle w:val="reader-word-layerreader-word-s2-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征费稽查管理项目为延续性项目，项目自身的可靠性、可维护性以及运行的安全性、可更新性等能保证项目功能的稳定性、持续性。各子项目资金已经由财政全额下达，从经费上保障了各项目的持续性和连贯性，具备将项目完成的能力。</w:t>
      </w:r>
    </w:p>
    <w:p w:rsidR="006A6E50" w:rsidRDefault="0054482E">
      <w:pPr>
        <w:tabs>
          <w:tab w:val="left" w:pos="878"/>
        </w:tabs>
        <w:spacing w:line="578" w:lineRule="exact"/>
        <w:ind w:firstLineChars="200" w:firstLine="64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五、</w:t>
      </w:r>
      <w:r>
        <w:rPr>
          <w:rFonts w:ascii="仿宋_GB2312" w:hAnsi="仿宋_GB2312" w:cs="仿宋_GB2312" w:hint="eastAsia"/>
          <w:bCs/>
          <w:sz w:val="32"/>
          <w:szCs w:val="32"/>
        </w:rPr>
        <w:t>综合评价情况及评价结论</w:t>
      </w:r>
    </w:p>
    <w:p w:rsidR="006A6E50" w:rsidRDefault="0054482E">
      <w:pPr>
        <w:tabs>
          <w:tab w:val="left" w:pos="720"/>
          <w:tab w:val="left" w:pos="3600"/>
        </w:tabs>
        <w:adjustRightInd w:val="0"/>
        <w:snapToGrid w:val="0"/>
        <w:spacing w:line="360" w:lineRule="auto"/>
        <w:ind w:firstLineChars="200" w:firstLine="640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根据项目绩效评价自评工作的要求，我分局成立了项目绩效评价工作小组，对该项目进行了科学、客观、公正的绩效评价，了解、分析、衡量项目是否达到预期目标，项目资金使用是否有效，项目管理运行是否可持续等。经过评价小组评审，各项指标绝大多数达到了预期的效果，项目为优秀。</w:t>
      </w:r>
    </w:p>
    <w:p w:rsidR="006A6E50" w:rsidRDefault="0054482E">
      <w:pPr>
        <w:spacing w:line="578" w:lineRule="exact"/>
        <w:ind w:firstLineChars="100" w:firstLine="320"/>
        <w:outlineLvl w:val="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lastRenderedPageBreak/>
        <w:t xml:space="preserve"> </w:t>
      </w:r>
      <w:r>
        <w:rPr>
          <w:rFonts w:ascii="仿宋_GB2312" w:hAnsi="仿宋_GB2312" w:cs="仿宋_GB2312" w:hint="eastAsia"/>
          <w:bCs/>
          <w:sz w:val="32"/>
          <w:szCs w:val="32"/>
        </w:rPr>
        <w:t>六、主要经验</w:t>
      </w:r>
      <w:r>
        <w:rPr>
          <w:rFonts w:ascii="仿宋_GB2312" w:hAnsi="仿宋_GB2312" w:cs="仿宋_GB2312" w:hint="eastAsia"/>
          <w:bCs/>
          <w:sz w:val="32"/>
          <w:szCs w:val="32"/>
        </w:rPr>
        <w:t>及做法、存在的问题和建议</w:t>
      </w:r>
    </w:p>
    <w:p w:rsidR="006A6E50" w:rsidRDefault="0054482E">
      <w:pPr>
        <w:widowControl/>
        <w:spacing w:line="240" w:lineRule="atLeast"/>
        <w:ind w:firstLineChars="200" w:firstLine="640"/>
        <w:jc w:val="left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主要经验及做法</w:t>
      </w:r>
      <w:r>
        <w:rPr>
          <w:rFonts w:ascii="仿宋_GB2312" w:hAnsi="仿宋_GB2312" w:cs="仿宋_GB2312" w:hint="eastAsia"/>
          <w:bCs/>
          <w:sz w:val="32"/>
          <w:szCs w:val="32"/>
        </w:rPr>
        <w:t>：一是要统一思想，提高认识。要高度重视项目预算执行工作，要经常研究预算执行缓慢原因，及时调整无法支出的项目预算指标。二是要明确目标，落实责</w:t>
      </w:r>
      <w:bookmarkStart w:id="0" w:name="_GoBack"/>
      <w:bookmarkEnd w:id="0"/>
      <w:r>
        <w:rPr>
          <w:rFonts w:ascii="仿宋_GB2312" w:hAnsi="仿宋_GB2312" w:cs="仿宋_GB2312" w:hint="eastAsia"/>
          <w:bCs/>
          <w:sz w:val="32"/>
          <w:szCs w:val="32"/>
        </w:rPr>
        <w:t>任。要切实明确目标任务，对照财政下达预算，逐笔资金进行分析，落实到人，加强督察督办。三是要规范资金使用。加强与省财政会计核算站沟通协调，严格按照程序和规定办理拨款和结算报销，确保资金安全。</w:t>
      </w:r>
    </w:p>
    <w:p w:rsidR="006A6E50" w:rsidRDefault="0054482E">
      <w:pPr>
        <w:widowControl/>
        <w:spacing w:line="240" w:lineRule="atLeast"/>
        <w:ind w:firstLineChars="200" w:firstLine="640"/>
        <w:jc w:val="left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存在的问题和建议</w:t>
      </w:r>
      <w:r>
        <w:rPr>
          <w:rFonts w:ascii="仿宋_GB2312" w:hAnsi="仿宋_GB2312" w:cs="仿宋_GB2312" w:hint="eastAsia"/>
          <w:bCs/>
          <w:sz w:val="32"/>
          <w:szCs w:val="32"/>
        </w:rPr>
        <w:t>：项目政府采购程序过于复杂，审批时间长，严重影响项目按计划开展。建议：省财政进一步简化政府采购程序，加快审批速度。</w:t>
      </w:r>
    </w:p>
    <w:p w:rsidR="006A6E50" w:rsidRDefault="006A6E50">
      <w:pPr>
        <w:rPr>
          <w:rFonts w:ascii="仿宋" w:eastAsia="仿宋" w:hAnsi="仿宋" w:cs="仿宋"/>
          <w:sz w:val="32"/>
          <w:szCs w:val="32"/>
        </w:rPr>
      </w:pPr>
    </w:p>
    <w:sectPr w:rsidR="006A6E50" w:rsidSect="006A6E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2E" w:rsidRDefault="0054482E" w:rsidP="006A6E50">
      <w:r>
        <w:separator/>
      </w:r>
    </w:p>
  </w:endnote>
  <w:endnote w:type="continuationSeparator" w:id="1">
    <w:p w:rsidR="0054482E" w:rsidRDefault="0054482E" w:rsidP="006A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50" w:rsidRDefault="0054482E">
    <w:pPr>
      <w:pStyle w:val="1CharCharChar"/>
      <w:framePr w:wrap="around" w:vAnchor="text" w:hAnchor="margin" w:xAlign="outside" w:y="2"/>
      <w:ind w:firstLineChars="0" w:firstLine="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6A6E5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 w:rsidR="006A6E50">
      <w:rPr>
        <w:rFonts w:ascii="宋体" w:hAnsi="宋体"/>
        <w:sz w:val="28"/>
        <w:szCs w:val="28"/>
      </w:rPr>
      <w:fldChar w:fldCharType="separate"/>
    </w:r>
    <w:r w:rsidR="00C3339E">
      <w:rPr>
        <w:rFonts w:ascii="宋体" w:hAnsi="宋体"/>
        <w:noProof/>
        <w:sz w:val="28"/>
        <w:szCs w:val="28"/>
      </w:rPr>
      <w:t>2</w:t>
    </w:r>
    <w:r w:rsidR="006A6E5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  <w:p w:rsidR="006A6E50" w:rsidRDefault="006A6E50" w:rsidP="00C3339E">
    <w:pPr>
      <w:pStyle w:val="1CharCharChar"/>
      <w:ind w:right="360" w:firstLine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2E" w:rsidRDefault="0054482E" w:rsidP="006A6E50">
      <w:r>
        <w:separator/>
      </w:r>
    </w:p>
  </w:footnote>
  <w:footnote w:type="continuationSeparator" w:id="1">
    <w:p w:rsidR="0054482E" w:rsidRDefault="0054482E" w:rsidP="006A6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38C"/>
    <w:multiLevelType w:val="singleLevel"/>
    <w:tmpl w:val="177063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FE9417"/>
    <w:multiLevelType w:val="singleLevel"/>
    <w:tmpl w:val="1CFE9417"/>
    <w:lvl w:ilvl="0">
      <w:start w:val="2"/>
      <w:numFmt w:val="decimal"/>
      <w:suff w:val="nothing"/>
      <w:lvlText w:val="（%1）"/>
      <w:lvlJc w:val="left"/>
    </w:lvl>
  </w:abstractNum>
  <w:abstractNum w:abstractNumId="2">
    <w:nsid w:val="6307D0BD"/>
    <w:multiLevelType w:val="singleLevel"/>
    <w:tmpl w:val="6307D0B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2C427F"/>
    <w:rsid w:val="0054482E"/>
    <w:rsid w:val="006A6E50"/>
    <w:rsid w:val="00C3339E"/>
    <w:rsid w:val="09A81B48"/>
    <w:rsid w:val="0BE848F6"/>
    <w:rsid w:val="114F710C"/>
    <w:rsid w:val="1201768B"/>
    <w:rsid w:val="192E3385"/>
    <w:rsid w:val="27BF1776"/>
    <w:rsid w:val="46E220EC"/>
    <w:rsid w:val="47CD2B74"/>
    <w:rsid w:val="4C3A5990"/>
    <w:rsid w:val="52FB69F7"/>
    <w:rsid w:val="5DB20952"/>
    <w:rsid w:val="5E8502E6"/>
    <w:rsid w:val="68EA468E"/>
    <w:rsid w:val="6F2C427F"/>
    <w:rsid w:val="797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">
    <w:name w:val="正文1 Char Char Char"/>
    <w:basedOn w:val="a"/>
    <w:qFormat/>
    <w:rsid w:val="006A6E50"/>
    <w:pPr>
      <w:spacing w:line="360" w:lineRule="auto"/>
      <w:ind w:firstLineChars="200" w:firstLine="200"/>
    </w:pPr>
  </w:style>
  <w:style w:type="paragraph" w:customStyle="1" w:styleId="reader-word-layerreader-word-s2-4">
    <w:name w:val="reader-word-layer reader-word-s2-4"/>
    <w:basedOn w:val="a"/>
    <w:qFormat/>
    <w:rsid w:val="006A6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List Paragraph"/>
    <w:basedOn w:val="a"/>
    <w:qFormat/>
    <w:rsid w:val="006A6E50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header"/>
    <w:basedOn w:val="a"/>
    <w:link w:val="Char"/>
    <w:rsid w:val="00C3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33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33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符丹</cp:lastModifiedBy>
  <cp:revision>2</cp:revision>
  <dcterms:created xsi:type="dcterms:W3CDTF">2019-05-10T08:17:00Z</dcterms:created>
  <dcterms:modified xsi:type="dcterms:W3CDTF">2021-05-27T09:11:00Z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C42A8C7E606E404F98D81B0260D3B4E7</vt:lpwstr>
  </property>
</Properties>
</file>