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新海港片区“二线口岸”集中查验区专用通道新建工程绩效自评报告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hint="eastAsia" w:ascii="黑体" w:hAnsi="黑体" w:eastAsia="黑体" w:cs="黑体"/>
          <w:color w:val="000000"/>
          <w:sz w:val="27"/>
          <w:szCs w:val="27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2" w:firstLineChars="200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海南省发展和改革委员会关于批复新海港片区“二线口岸”集中查验区专用通道新建工程可行性研究报告的函(琼发改审批函[2022]939号)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海南省发展和改革委员会关于批复新海港片区”二线口岸“集中查验区专用新建工程初步设计及概算的函(琼发改审批函[2023]201号)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3、海南省交通运输厅关于新海港片区“二线口岸”集中查验区专用通道新建工程施工图设计的批复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(琼交运审批[2023]8号)；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主线起点位于滨海大道与G15沈海高速海口段交叉处，终点位于荣山大道附近，沿永庆大道布置，跨越荣山河，全长3.21公里；连接线全长2.06公里。项目主线采用双向六车道高速公路标准，设计速度80公里/小时，采用全高架，分左右幅，桥梁标准宽度为2×16.25米，近期实施右半幅，预留远期左半幅实施条件；连接线采用双向四车道高速公路标准，设计速度 80 公里/小时，采用全高架，分左右幅，桥梁标准宽度为2×12.25米。项目总占地约440亩，2处涉铁工程。项目总投资268405万元，建设工期18个月。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勘察设计单位：中交公路规划设计院有限公司&amp;中国铁路设计集团有限公司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非涉铁段监理单位：中咨公路工程监理咨询有限公司&amp;海南中交高速公路投资建设有限公司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涉铁段监理单位：三方建设集团有限公司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施工单位：TJ01标中标单位：中交一公局集团有限公司；施工TJ02标中标单位：中交二公局东萌工程有限公司；施工TJLM03标中标单位：北京市政路桥股份有限公司；施工JAJDHB01标中标单位：北京公科飞达交通工程发展有限公司&amp;江苏中路交通发展有限公司。涉铁段施工单位为中国铁建大桥工程局集团有限公司&amp;中铁建大桥工程局集团电气化工程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02" w:firstLineChars="200"/>
        <w:jc w:val="left"/>
        <w:outlineLvl w:val="0"/>
        <w:rPr>
          <w:rFonts w:hint="eastAsia" w:ascii="楷体_GB2312" w:hAnsi="楷体_GB2312" w:eastAsia="楷体_GB2312" w:cs="楷体_GB2312"/>
          <w:b/>
          <w:bCs/>
          <w:kern w:val="2"/>
          <w:sz w:val="30"/>
          <w:szCs w:val="24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0"/>
          <w:szCs w:val="24"/>
        </w:rPr>
        <w:t>（二）项目绩效目标和绩效指标设定情况</w:t>
      </w:r>
    </w:p>
    <w:p>
      <w:pPr>
        <w:widowControl w:val="0"/>
        <w:spacing w:line="560" w:lineRule="exact"/>
        <w:ind w:firstLine="60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0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24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0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0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0"/>
          <w:szCs w:val="24"/>
        </w:rPr>
        <w:t>2.新海港片区“二线口岸”集中查验区专用通道新建工程项目绩效指标设定如下：</w:t>
      </w:r>
    </w:p>
    <w:tbl>
      <w:tblPr>
        <w:tblStyle w:val="2"/>
        <w:tblpPr w:leftFromText="180" w:rightFromText="180" w:vertAnchor="text" w:horzAnchor="page" w:tblpXSpec="center" w:tblpY="537"/>
        <w:tblOverlap w:val="never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84"/>
        <w:gridCol w:w="2245"/>
        <w:gridCol w:w="1278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2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按照监理/中试抽检整体合格率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97.9%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基本公共服务水平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项目支出符合概算批复的标准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</w:tr>
    </w:tbl>
    <w:p>
      <w:pPr>
        <w:numPr>
          <w:ilvl w:val="0"/>
          <w:numId w:val="1"/>
        </w:numPr>
        <w:spacing w:before="100" w:beforeAutospacing="0" w:after="100" w:afterAutospacing="0" w:line="560" w:lineRule="exact"/>
        <w:ind w:firstLine="640"/>
        <w:rPr>
          <w:rFonts w:hint="eastAsia" w:ascii="黑体" w:hAnsi="黑体" w:eastAsia="黑体" w:cs="黑体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0"/>
          <w:szCs w:val="24"/>
          <w:lang w:val="en-US" w:eastAsia="zh-CN" w:bidi="ar-SA"/>
        </w:rPr>
        <w:t>（</w:t>
      </w: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  <w:lang w:val="en-US" w:eastAsia="zh-CN" w:bidi="ar-SA"/>
        </w:rPr>
        <w:t>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新海港片区“二线口岸”集中查验区专用通道新建工程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59800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万元，资金到位率100%。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截至2023年12月31日，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新海港片区“二线口岸”集中查验区专用通道新建工程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59800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资金使用率100%。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（1）数量指标：按照监理/中试抽检整体合格率≥90%，实际完成值97.9%；截止2023年年底，本项目实际抽检5022次，合格4919次，合格率97.9%。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（2）社会效益指标：基本公共服务水平提升，实际完成值提升，项目将为海南自由贸易港“封关运作”提供重要硬件支撑，进一步完善港区路网布局，提升港区路网通行能力、服务水平和运输效率。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（3）经济成本指标：项目支出符合概算批复的标准，实际完成值符合要求。项目的资金支出严格按照国家相关规定执行，做到项目专款专用。</w:t>
      </w:r>
    </w:p>
    <w:p>
      <w:pPr>
        <w:widowControl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2" w:firstLineChars="200"/>
        <w:jc w:val="both"/>
        <w:outlineLvl w:val="0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考依据，督促资金使用单位对绩效自评发现问题进行认真整改，并要求及时报整改落实情况。我们将绩效评价结果按规定在部门门户网站或单位网站公开，接受社会监督。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/>
    <w:sectPr>
      <w:pgSz w:w="11906" w:h="16839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C92E6C"/>
    <w:multiLevelType w:val="singleLevel"/>
    <w:tmpl w:val="68C92E6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04FE3CBD"/>
    <w:rsid w:val="0F7D59F6"/>
    <w:rsid w:val="14DB4F49"/>
    <w:rsid w:val="2DC931AE"/>
    <w:rsid w:val="31053428"/>
    <w:rsid w:val="487A390A"/>
    <w:rsid w:val="494C26D0"/>
    <w:rsid w:val="561226CE"/>
    <w:rsid w:val="5CCB3470"/>
    <w:rsid w:val="6EF36A95"/>
    <w:rsid w:val="710010F4"/>
    <w:rsid w:val="71F1067C"/>
    <w:rsid w:val="749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2024-04-19T15:27:00Z</dcterms:created>
  <dc:creator>高成就学</dc:creator>
  <cp:lastModifiedBy>占月</cp:lastModifiedBy>
  <dcterms:modified xsi:type="dcterms:W3CDTF">2024-04-24T18:50:18Z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C0B02CDA3C5240DEB794D86397CF72D3_13</vt:lpwstr>
  </property>
</Properties>
</file>