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60" w:lineRule="exact"/>
        <w:ind w:firstLine="880" w:firstLineChars="200"/>
        <w:jc w:val="center"/>
        <w:rPr>
          <w:rFonts w:ascii="方正小标宋简体" w:hAnsi="方正小标宋简体" w:eastAsia="方正小标宋简体" w:cs="方正小标宋简体"/>
          <w:bCs/>
          <w:sz w:val="44"/>
          <w:szCs w:val="44"/>
          <w:lang w:val="en-US" w:eastAsia="zh-CN" w:bidi="ar-SA"/>
        </w:rPr>
      </w:pPr>
      <w:r>
        <w:rPr>
          <w:rFonts w:hint="eastAsia" w:ascii="方正小标宋简体" w:hAnsi="方正小标宋简体" w:eastAsia="方正小标宋简体" w:cs="方正小标宋简体"/>
          <w:b w:val="0"/>
          <w:bCs/>
          <w:sz w:val="44"/>
          <w:szCs w:val="44"/>
          <w:lang w:val="en-US" w:eastAsia="zh-CN" w:bidi="ar-SA"/>
        </w:rPr>
        <w:t>什运至白沙高速公路鹦哥岭隧道及连接线工程绩效自评报告</w:t>
      </w:r>
    </w:p>
    <w:p>
      <w:pPr>
        <w:spacing w:before="100" w:beforeAutospacing="0" w:after="100" w:afterAutospacing="0" w:line="560" w:lineRule="exact"/>
        <w:ind w:firstLine="640" w:firstLineChars="200"/>
        <w:rPr>
          <w:rFonts w:ascii="仿宋_GB2312" w:hAnsi="仿宋_GB2312" w:eastAsia="仿宋_GB2312" w:cs="仿宋_GB2312"/>
          <w:color w:val="000000"/>
          <w:sz w:val="32"/>
          <w:szCs w:val="32"/>
          <w:lang w:val="en-US" w:eastAsia="zh-CN" w:bidi="ar-SA"/>
        </w:rPr>
      </w:pPr>
      <w:r>
        <w:rPr>
          <w:rFonts w:hint="eastAsia" w:ascii="仿宋_GB2312" w:hAnsi="仿宋_GB2312" w:eastAsia="仿宋_GB2312" w:cs="仿宋_GB2312"/>
          <w:kern w:val="2"/>
          <w:sz w:val="32"/>
          <w:szCs w:val="32"/>
          <w:lang w:val="en-US" w:eastAsia="zh-CN" w:bidi="ar-SA"/>
        </w:rPr>
        <w:t>一、项目概况</w:t>
      </w:r>
    </w:p>
    <w:p>
      <w:pPr>
        <w:spacing w:before="100" w:beforeAutospacing="0" w:after="100" w:afterAutospacing="0" w:line="560" w:lineRule="exact"/>
        <w:ind w:firstLine="643" w:firstLineChars="200"/>
        <w:rPr>
          <w:rFonts w:ascii="仿宋_GB2312" w:hAnsi="仿宋_GB2312" w:eastAsia="仿宋_GB2312" w:cs="仿宋_GB2312"/>
          <w:b/>
          <w:bCs/>
          <w:color w:val="000000"/>
          <w:sz w:val="32"/>
          <w:szCs w:val="32"/>
          <w:lang w:val="en-US" w:eastAsia="zh-CN" w:bidi="ar"/>
        </w:rPr>
      </w:pPr>
      <w:r>
        <w:rPr>
          <w:rFonts w:hint="eastAsia" w:ascii="仿宋_GB2312" w:hAnsi="仿宋_GB2312" w:eastAsia="仿宋_GB2312" w:cs="仿宋_GB2312"/>
          <w:b/>
          <w:bCs/>
          <w:color w:val="000000"/>
          <w:sz w:val="32"/>
          <w:szCs w:val="32"/>
          <w:lang w:val="en-US" w:eastAsia="zh-CN" w:bidi="ar"/>
        </w:rPr>
        <w:t>（一）项目基本情况：</w:t>
      </w:r>
    </w:p>
    <w:p>
      <w:pPr>
        <w:spacing w:before="100" w:beforeAutospacing="0" w:after="100" w:afterAutospacing="0" w:line="560" w:lineRule="exact"/>
        <w:ind w:firstLine="640" w:firstLineChars="200"/>
        <w:jc w:val="both"/>
        <w:rPr>
          <w:rFonts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val="en-US" w:eastAsia="zh-CN" w:bidi="ar"/>
        </w:rPr>
        <w:t>1、</w:t>
      </w:r>
      <w:r>
        <w:rPr>
          <w:rFonts w:hint="eastAsia" w:ascii="仿宋_GB2312" w:hAnsi="方正仿宋_GBK" w:eastAsia="仿宋_GB2312" w:cs="方正仿宋_GBK"/>
          <w:sz w:val="32"/>
          <w:szCs w:val="32"/>
          <w:lang w:val="en-US" w:eastAsia="zh-CN" w:bidi="ar"/>
        </w:rPr>
        <w:t>海南省发展和改革委员会关于批复什运至白沙高速公路鹦哥岭隧道及连接线工程可行性研究报告的函(琼发改审批函[2022]1048号)</w:t>
      </w:r>
      <w:r>
        <w:rPr>
          <w:rFonts w:hint="eastAsia" w:ascii="仿宋_GB2312" w:hAnsi="仿宋_GB2312" w:eastAsia="仿宋_GB2312" w:cs="仿宋_GB2312"/>
          <w:sz w:val="32"/>
          <w:szCs w:val="32"/>
          <w:lang w:val="en-US" w:eastAsia="zh-CN" w:bidi="ar"/>
        </w:rPr>
        <w:t>；</w:t>
      </w:r>
    </w:p>
    <w:p>
      <w:pPr>
        <w:spacing w:before="100" w:beforeAutospacing="0" w:after="100" w:afterAutospacing="0" w:line="560" w:lineRule="exact"/>
        <w:ind w:firstLine="640" w:firstLineChars="200"/>
        <w:jc w:val="both"/>
        <w:rPr>
          <w:rFonts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
        </w:rPr>
        <w:t>2、</w:t>
      </w:r>
      <w:r>
        <w:rPr>
          <w:rFonts w:hint="eastAsia" w:ascii="仿宋_GB2312" w:hAnsi="方正仿宋_GBK" w:eastAsia="仿宋_GB2312" w:cs="方正仿宋_GBK"/>
          <w:sz w:val="32"/>
          <w:szCs w:val="32"/>
          <w:lang w:val="en-US" w:eastAsia="zh-CN" w:bidi="ar"/>
        </w:rPr>
        <w:t>海南省发展和改革委员会关于批复什运至白沙高速公路及连接线工程初步设计及概算的函(琼发改审批函[2023]73号)</w:t>
      </w:r>
      <w:r>
        <w:rPr>
          <w:rFonts w:hint="eastAsia" w:ascii="仿宋_GB2312" w:hAnsi="仿宋_GB2312" w:eastAsia="仿宋_GB2312" w:cs="仿宋_GB2312"/>
          <w:sz w:val="32"/>
          <w:szCs w:val="32"/>
          <w:lang w:val="en-US" w:eastAsia="zh-CN" w:bidi="ar"/>
        </w:rPr>
        <w:t>；</w:t>
      </w:r>
    </w:p>
    <w:p>
      <w:pPr>
        <w:spacing w:before="100" w:beforeAutospacing="0" w:after="100" w:afterAutospacing="0" w:line="560" w:lineRule="exact"/>
        <w:ind w:firstLine="640" w:firstLineChars="200"/>
        <w:jc w:val="both"/>
        <w:rPr>
          <w:rFonts w:ascii="仿宋_GB2312" w:hAnsi="方正仿宋_GBK" w:eastAsia="仿宋_GB2312" w:cs="方正仿宋_GBK"/>
          <w:sz w:val="32"/>
          <w:szCs w:val="32"/>
          <w:lang w:val="en-US" w:eastAsia="zh-CN" w:bidi="ar"/>
        </w:rPr>
      </w:pPr>
      <w:r>
        <w:rPr>
          <w:rFonts w:hint="eastAsia" w:ascii="仿宋_GB2312" w:hAnsi="仿宋_GB2312" w:eastAsia="仿宋_GB2312" w:cs="仿宋_GB2312"/>
          <w:sz w:val="32"/>
          <w:szCs w:val="32"/>
          <w:lang w:val="en-US" w:eastAsia="zh-CN" w:bidi="ar"/>
        </w:rPr>
        <w:t>3、海南省交通运输厅关于什运至白沙高速公路鹦哥岭隧道及连接线工程</w:t>
      </w:r>
      <w:r>
        <w:rPr>
          <w:rFonts w:ascii="仿宋_GB2312" w:hAnsi="仿宋_GB2312" w:eastAsia="仿宋_GB2312" w:cs="仿宋_GB2312"/>
          <w:sz w:val="32"/>
          <w:szCs w:val="32"/>
          <w:lang w:val="en-US" w:eastAsia="zh-CN" w:bidi="ar"/>
        </w:rPr>
        <w:t>TJ01、TJ03标段施工图设计的批复</w:t>
      </w:r>
      <w:r>
        <w:rPr>
          <w:rFonts w:hint="eastAsia" w:ascii="仿宋_GB2312" w:hAnsi="方正仿宋_GBK" w:eastAsia="仿宋_GB2312" w:cs="方正仿宋_GBK"/>
          <w:sz w:val="32"/>
          <w:szCs w:val="32"/>
          <w:lang w:val="en-US" w:eastAsia="zh-CN" w:bidi="ar"/>
        </w:rPr>
        <w:t>(琼交运审批[2023]7号)；</w:t>
      </w:r>
      <w:r>
        <w:rPr>
          <w:rFonts w:hint="eastAsia" w:ascii="仿宋_GB2312" w:hAnsi="仿宋_GB2312" w:eastAsia="仿宋_GB2312" w:cs="仿宋_GB2312"/>
          <w:sz w:val="32"/>
          <w:szCs w:val="32"/>
          <w:lang w:val="en-US" w:eastAsia="zh-CN" w:bidi="ar"/>
        </w:rPr>
        <w:t>海南省交通运输厅关于什运至白沙高速公路鹦哥岭隧道及连接线工程先导段</w:t>
      </w:r>
      <w:r>
        <w:rPr>
          <w:rFonts w:ascii="仿宋_GB2312" w:hAnsi="仿宋_GB2312" w:eastAsia="仿宋_GB2312" w:cs="仿宋_GB2312"/>
          <w:sz w:val="32"/>
          <w:szCs w:val="32"/>
          <w:lang w:val="en-US" w:eastAsia="zh-CN" w:bidi="ar"/>
        </w:rPr>
        <w:t>TJ02标段施工图预算的批复</w:t>
      </w:r>
      <w:r>
        <w:rPr>
          <w:rFonts w:hint="eastAsia" w:ascii="仿宋_GB2312" w:hAnsi="方正仿宋_GBK" w:eastAsia="仿宋_GB2312" w:cs="方正仿宋_GBK"/>
          <w:sz w:val="32"/>
          <w:szCs w:val="32"/>
          <w:lang w:val="en-US" w:eastAsia="zh-CN" w:bidi="ar"/>
        </w:rPr>
        <w:t>(琼交运审批[2023]4号)；</w:t>
      </w:r>
      <w:r>
        <w:rPr>
          <w:rFonts w:hint="eastAsia" w:ascii="仿宋_GB2312" w:hAnsi="仿宋_GB2312" w:eastAsia="仿宋_GB2312" w:cs="仿宋_GB2312"/>
          <w:sz w:val="32"/>
          <w:szCs w:val="32"/>
          <w:lang w:val="en-US" w:eastAsia="zh-CN" w:bidi="ar"/>
        </w:rPr>
        <w:t>海南省交通运输厅关于什运至白沙高速公路鹦哥岭隧道及连接线工程</w:t>
      </w:r>
      <w:r>
        <w:rPr>
          <w:rFonts w:ascii="仿宋_GB2312" w:hAnsi="仿宋_GB2312" w:eastAsia="仿宋_GB2312" w:cs="仿宋_GB2312"/>
          <w:sz w:val="32"/>
          <w:szCs w:val="32"/>
          <w:lang w:val="en-US" w:eastAsia="zh-CN" w:bidi="ar"/>
        </w:rPr>
        <w:t>TJ04标段施工图设计的批复</w:t>
      </w:r>
      <w:r>
        <w:rPr>
          <w:rFonts w:hint="eastAsia" w:ascii="仿宋_GB2312" w:hAnsi="方正仿宋_GBK" w:eastAsia="仿宋_GB2312" w:cs="方正仿宋_GBK"/>
          <w:sz w:val="32"/>
          <w:szCs w:val="32"/>
          <w:lang w:val="en-US" w:eastAsia="zh-CN" w:bidi="ar"/>
        </w:rPr>
        <w:t>(琼交运审批[2024]1号)；</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
        </w:rPr>
      </w:pPr>
      <w:r>
        <w:rPr>
          <w:rFonts w:hint="eastAsia" w:ascii="仿宋_GB2312" w:hAnsi="仿宋_GB2312" w:eastAsia="仿宋_GB2312" w:cs="仿宋_GB2312"/>
          <w:color w:val="000000"/>
          <w:sz w:val="32"/>
          <w:szCs w:val="32"/>
          <w:lang w:val="en-US" w:eastAsia="zh-CN" w:bidi="ar"/>
        </w:rPr>
        <w:t>本项目分为主线、牙叉连接线和水满连接线三部分：主线整体为南北走向，起点位于G9811高速什运互通，穿越海南热带雨林国家公园一般控制区，经琼中县什运乡和白沙县元门乡，终点位于元门乡黑榄村东侧，顺接国道G361主线全长15.563km公里；牙叉连接线全长3.087公里；水满连接线全长19.770公里。主线及牙叉连接线采用双向四车道高速公路标准，设计速度80公里/小时，路基宽25.5米，设计荷载公路-I级；水满连接线采用四级公路标准，设计速度20公里/小时，路基宽5.5米，设计荷载公路-Ⅱ级。项目总投资329944万元，建设工期36个月。</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SA"/>
        </w:rPr>
      </w:pPr>
      <w:r>
        <w:rPr>
          <w:rFonts w:hint="eastAsia" w:ascii="仿宋_GB2312" w:hAnsi="仿宋_GB2312" w:eastAsia="仿宋_GB2312" w:cs="仿宋_GB2312"/>
          <w:color w:val="000000"/>
          <w:sz w:val="32"/>
          <w:szCs w:val="32"/>
          <w:lang w:val="en-US" w:eastAsia="zh-CN" w:bidi="ar"/>
        </w:rPr>
        <w:t>主要参建单位：</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
        </w:rPr>
      </w:pPr>
      <w:r>
        <w:rPr>
          <w:rFonts w:hint="eastAsia" w:ascii="仿宋_GB2312" w:hAnsi="仿宋_GB2312" w:eastAsia="仿宋_GB2312" w:cs="仿宋_GB2312"/>
          <w:color w:val="000000"/>
          <w:sz w:val="32"/>
          <w:szCs w:val="32"/>
          <w:lang w:val="en-US" w:eastAsia="zh-CN" w:bidi="ar"/>
        </w:rPr>
        <w:t>建设单位：海南省交通投资控股有限公司</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
        </w:rPr>
      </w:pPr>
      <w:r>
        <w:rPr>
          <w:rFonts w:hint="eastAsia" w:ascii="仿宋_GB2312" w:hAnsi="仿宋_GB2312" w:eastAsia="仿宋_GB2312" w:cs="仿宋_GB2312"/>
          <w:color w:val="000000"/>
          <w:sz w:val="32"/>
          <w:szCs w:val="32"/>
          <w:lang w:val="en-US" w:eastAsia="zh-CN" w:bidi="ar"/>
        </w:rPr>
        <w:t>勘察设计单位：中交第一公路勘察设计研究院有限公司</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
        </w:rPr>
      </w:pPr>
      <w:r>
        <w:rPr>
          <w:rFonts w:hint="eastAsia" w:ascii="仿宋_GB2312" w:hAnsi="仿宋_GB2312" w:eastAsia="仿宋_GB2312" w:cs="仿宋_GB2312"/>
          <w:color w:val="000000"/>
          <w:sz w:val="32"/>
          <w:szCs w:val="32"/>
          <w:lang w:val="en-US" w:eastAsia="zh-CN" w:bidi="ar"/>
        </w:rPr>
        <w:t>监理单位：中咨公路工程监理咨询有限公司&amp;海南中交高速公路投资建设有限公司</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highlight w:val="none"/>
          <w:lang w:val="en-US" w:eastAsia="zh-CN" w:bidi="ar"/>
        </w:rPr>
      </w:pPr>
      <w:r>
        <w:rPr>
          <w:rFonts w:hint="eastAsia" w:ascii="仿宋_GB2312" w:hAnsi="仿宋_GB2312" w:eastAsia="仿宋_GB2312" w:cs="仿宋_GB2312"/>
          <w:color w:val="000000"/>
          <w:sz w:val="32"/>
          <w:szCs w:val="32"/>
          <w:lang w:val="en-US" w:eastAsia="zh-CN" w:bidi="ar"/>
        </w:rPr>
        <w:t>施工单位：施工TJ01标：中交第二公路工程局有限公司，施工TJ02标：中交一公局集团有限公司，施工TJ03标：中交一公局厦门工程有限公司，</w:t>
      </w:r>
      <w:r>
        <w:rPr>
          <w:rFonts w:hint="eastAsia" w:ascii="仿宋_GB2312" w:hAnsi="仿宋_GB2312" w:eastAsia="仿宋_GB2312" w:cs="仿宋_GB2312"/>
          <w:color w:val="000000"/>
          <w:sz w:val="32"/>
          <w:szCs w:val="32"/>
          <w:highlight w:val="none"/>
          <w:lang w:val="en-US" w:eastAsia="zh-CN" w:bidi="ar"/>
        </w:rPr>
        <w:t>施工TJ04标：陕西路桥集团有限公司</w:t>
      </w:r>
    </w:p>
    <w:p>
      <w:pPr>
        <w:spacing w:before="100" w:beforeAutospacing="0" w:after="100" w:afterAutospacing="0" w:line="560" w:lineRule="exact"/>
        <w:ind w:firstLine="640" w:firstLineChars="200"/>
        <w:jc w:val="both"/>
        <w:rPr>
          <w:rFonts w:ascii="仿宋_GB2312" w:hAnsi="仿宋_GB2312" w:eastAsia="仿宋_GB2312" w:cs="仿宋_GB2312"/>
          <w:color w:val="000000"/>
          <w:sz w:val="32"/>
          <w:szCs w:val="32"/>
          <w:lang w:val="en-US" w:eastAsia="zh-CN" w:bidi="ar-SA"/>
        </w:rPr>
      </w:pPr>
      <w:r>
        <w:rPr>
          <w:rFonts w:hint="eastAsia" w:ascii="仿宋_GB2312" w:hAnsi="仿宋_GB2312" w:eastAsia="仿宋_GB2312" w:cs="仿宋_GB2312"/>
          <w:color w:val="000000"/>
          <w:sz w:val="32"/>
          <w:szCs w:val="32"/>
          <w:lang w:val="en-US" w:eastAsia="zh-CN" w:bidi="ar"/>
        </w:rPr>
        <w:t>政府监督单位：海南省交通工程质量监督管理局</w:t>
      </w:r>
    </w:p>
    <w:p>
      <w:pPr>
        <w:widowControl/>
        <w:spacing w:line="560" w:lineRule="exact"/>
        <w:ind w:firstLine="643" w:firstLineChars="200"/>
        <w:jc w:val="left"/>
        <w:outlineLvl w:val="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（二）项目绩效目标和绩效指标设定情况</w:t>
      </w:r>
    </w:p>
    <w:p>
      <w:pPr>
        <w:widowControl w:val="0"/>
        <w:spacing w:line="560" w:lineRule="exact"/>
        <w:ind w:firstLine="643" w:firstLineChars="200"/>
        <w:jc w:val="both"/>
        <w:outlineLvl w:val="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1.预期总体目标和本阶段目标</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项目绩效总目标：进一步提升我省公路服务水平，改善沿线贫困地区的交通基础设施，促进经济社会更快发展。</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项目绩效本阶段目标：按实施计划完成2023年项目建设工作。</w:t>
      </w:r>
    </w:p>
    <w:p>
      <w:pPr>
        <w:widowControl w:val="0"/>
        <w:spacing w:line="560" w:lineRule="exact"/>
        <w:ind w:firstLine="643" w:firstLineChars="200"/>
        <w:jc w:val="both"/>
        <w:outlineLvl w:val="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2.什运至白沙高速公路鹦哥岭隧道及连接线工程项目绩效指标设定如下：</w:t>
      </w:r>
    </w:p>
    <w:tbl>
      <w:tblPr>
        <w:tblStyle w:val="2"/>
        <w:tblpPr w:leftFromText="180" w:rightFromText="180" w:vertAnchor="text" w:horzAnchor="page" w:tblpX="1782" w:tblpY="136"/>
        <w:tblOverlap w:val="never"/>
        <w:tblW w:w="8610" w:type="dxa"/>
        <w:tblInd w:w="0" w:type="dxa"/>
        <w:tblLayout w:type="autofit"/>
        <w:tblCellMar>
          <w:top w:w="0" w:type="dxa"/>
          <w:left w:w="0" w:type="dxa"/>
          <w:bottom w:w="0" w:type="dxa"/>
          <w:right w:w="0" w:type="dxa"/>
        </w:tblCellMar>
      </w:tblPr>
      <w:tblGrid>
        <w:gridCol w:w="1920"/>
        <w:gridCol w:w="1984"/>
        <w:gridCol w:w="2245"/>
        <w:gridCol w:w="1278"/>
        <w:gridCol w:w="1183"/>
      </w:tblGrid>
      <w:tr>
        <w:tblPrEx>
          <w:tblCellMar>
            <w:top w:w="0" w:type="dxa"/>
            <w:left w:w="0" w:type="dxa"/>
            <w:bottom w:w="0" w:type="dxa"/>
            <w:right w:w="0" w:type="dxa"/>
          </w:tblCellMar>
        </w:tblPrEx>
        <w:trPr>
          <w:trHeight w:val="560" w:hRule="atLeast"/>
        </w:trPr>
        <w:tc>
          <w:tcPr>
            <w:tcW w:w="192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一级指标</w:t>
            </w:r>
          </w:p>
        </w:tc>
        <w:tc>
          <w:tcPr>
            <w:tcW w:w="19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二级指标</w:t>
            </w:r>
          </w:p>
        </w:tc>
        <w:tc>
          <w:tcPr>
            <w:tcW w:w="224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三级指标</w:t>
            </w:r>
          </w:p>
        </w:tc>
        <w:tc>
          <w:tcPr>
            <w:tcW w:w="127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年度指标值</w:t>
            </w:r>
          </w:p>
        </w:tc>
        <w:tc>
          <w:tcPr>
            <w:tcW w:w="11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实际完成值</w:t>
            </w:r>
          </w:p>
        </w:tc>
      </w:tr>
      <w:tr>
        <w:tblPrEx>
          <w:tblCellMar>
            <w:top w:w="0" w:type="dxa"/>
            <w:left w:w="0" w:type="dxa"/>
            <w:bottom w:w="0" w:type="dxa"/>
            <w:right w:w="0" w:type="dxa"/>
          </w:tblCellMar>
        </w:tblPrEx>
        <w:trPr>
          <w:trHeight w:val="580" w:hRule="atLeast"/>
        </w:trPr>
        <w:tc>
          <w:tcPr>
            <w:tcW w:w="192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c>
          <w:tcPr>
            <w:tcW w:w="19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c>
          <w:tcPr>
            <w:tcW w:w="224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c>
          <w:tcPr>
            <w:tcW w:w="127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c>
          <w:tcPr>
            <w:tcW w:w="11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r>
      <w:tr>
        <w:tblPrEx>
          <w:tblCellMar>
            <w:top w:w="0" w:type="dxa"/>
            <w:left w:w="0" w:type="dxa"/>
            <w:bottom w:w="0" w:type="dxa"/>
            <w:right w:w="0" w:type="dxa"/>
          </w:tblCellMar>
        </w:tblPrEx>
        <w:trPr>
          <w:trHeight w:val="671" w:hRule="atLeast"/>
        </w:trPr>
        <w:tc>
          <w:tcPr>
            <w:tcW w:w="192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产出指标</w:t>
            </w:r>
          </w:p>
        </w:tc>
        <w:tc>
          <w:tcPr>
            <w:tcW w:w="1984"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数量指标</w:t>
            </w:r>
          </w:p>
        </w:tc>
        <w:tc>
          <w:tcPr>
            <w:tcW w:w="2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前期工作完成数量</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p>
        </w:tc>
        <w:tc>
          <w:tcPr>
            <w:tcW w:w="1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p>
        </w:tc>
      </w:tr>
      <w:tr>
        <w:tblPrEx>
          <w:tblCellMar>
            <w:top w:w="0" w:type="dxa"/>
            <w:left w:w="0" w:type="dxa"/>
            <w:bottom w:w="0" w:type="dxa"/>
            <w:right w:w="0" w:type="dxa"/>
          </w:tblCellMar>
        </w:tblPrEx>
        <w:trPr>
          <w:trHeight w:val="727" w:hRule="atLeast"/>
        </w:trPr>
        <w:tc>
          <w:tcPr>
            <w:tcW w:w="192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p>
        </w:tc>
        <w:tc>
          <w:tcPr>
            <w:tcW w:w="19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质量指标</w:t>
            </w:r>
          </w:p>
        </w:tc>
        <w:tc>
          <w:tcPr>
            <w:tcW w:w="2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按照监理/中试抽检整体合格率</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≥90%</w:t>
            </w:r>
          </w:p>
        </w:tc>
        <w:tc>
          <w:tcPr>
            <w:tcW w:w="1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98.9%</w:t>
            </w:r>
          </w:p>
        </w:tc>
      </w:tr>
      <w:tr>
        <w:tblPrEx>
          <w:tblCellMar>
            <w:top w:w="0" w:type="dxa"/>
            <w:left w:w="0" w:type="dxa"/>
            <w:bottom w:w="0" w:type="dxa"/>
            <w:right w:w="0" w:type="dxa"/>
          </w:tblCellMar>
        </w:tblPrEx>
        <w:trPr>
          <w:trHeight w:val="896" w:hRule="atLeast"/>
        </w:trPr>
        <w:tc>
          <w:tcPr>
            <w:tcW w:w="19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成本指标</w:t>
            </w:r>
          </w:p>
        </w:tc>
        <w:tc>
          <w:tcPr>
            <w:tcW w:w="19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经济成本指标</w:t>
            </w:r>
          </w:p>
        </w:tc>
        <w:tc>
          <w:tcPr>
            <w:tcW w:w="2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批复预算金额占批复概算金额比例</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≤100%</w:t>
            </w:r>
          </w:p>
        </w:tc>
        <w:tc>
          <w:tcPr>
            <w:tcW w:w="1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76%</w:t>
            </w:r>
          </w:p>
        </w:tc>
      </w:tr>
      <w:tr>
        <w:tblPrEx>
          <w:tblCellMar>
            <w:top w:w="0" w:type="dxa"/>
            <w:left w:w="0" w:type="dxa"/>
            <w:bottom w:w="0" w:type="dxa"/>
            <w:right w:w="0" w:type="dxa"/>
          </w:tblCellMar>
        </w:tblPrEx>
        <w:trPr>
          <w:trHeight w:val="896" w:hRule="atLeast"/>
        </w:trPr>
        <w:tc>
          <w:tcPr>
            <w:tcW w:w="19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效益指标</w:t>
            </w:r>
          </w:p>
        </w:tc>
        <w:tc>
          <w:tcPr>
            <w:tcW w:w="19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社会效益指标</w:t>
            </w:r>
          </w:p>
        </w:tc>
        <w:tc>
          <w:tcPr>
            <w:tcW w:w="22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基本公共服务水平</w:t>
            </w:r>
          </w:p>
        </w:tc>
        <w:tc>
          <w:tcPr>
            <w:tcW w:w="12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提升</w:t>
            </w:r>
          </w:p>
        </w:tc>
        <w:tc>
          <w:tcPr>
            <w:tcW w:w="11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提升</w:t>
            </w:r>
          </w:p>
        </w:tc>
      </w:tr>
    </w:tbl>
    <w:p>
      <w:pPr>
        <w:spacing w:before="100" w:beforeAutospacing="0" w:after="100" w:afterAutospacing="0" w:line="560" w:lineRule="exact"/>
        <w:rPr>
          <w:rFonts w:ascii="仿宋_GB2312" w:hAnsi="仿宋_GB2312" w:eastAsia="仿宋_GB2312" w:cs="仿宋_GB2312"/>
          <w:color w:val="000000"/>
          <w:sz w:val="32"/>
          <w:szCs w:val="32"/>
          <w:lang w:val="en-US" w:eastAsia="zh-CN" w:bidi="ar"/>
        </w:rPr>
      </w:pPr>
    </w:p>
    <w:p>
      <w:pPr>
        <w:numPr>
          <w:ilvl w:val="0"/>
          <w:numId w:val="1"/>
        </w:numPr>
        <w:spacing w:before="100" w:beforeAutospacing="0" w:after="100" w:afterAutospacing="0" w:line="560" w:lineRule="exact"/>
        <w:ind w:firstLine="640"/>
        <w:rPr>
          <w:rFonts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项目决策及资金使用管理情况</w:t>
      </w:r>
    </w:p>
    <w:p>
      <w:pPr>
        <w:adjustRightInd w:val="0"/>
        <w:snapToGrid w:val="0"/>
        <w:spacing w:before="100" w:beforeAutospacing="0" w:after="100" w:afterAutospacing="0" w:line="560" w:lineRule="exact"/>
        <w:ind w:left="640" w:leftChars="200"/>
        <w:rPr>
          <w:rFonts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（一）项目资金到位情况</w:t>
      </w:r>
    </w:p>
    <w:p>
      <w:pPr>
        <w:widowControl w:val="0"/>
        <w:spacing w:line="560" w:lineRule="exact"/>
        <w:ind w:firstLine="640" w:firstLineChars="200"/>
        <w:jc w:val="both"/>
        <w:outlineLvl w:val="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2023年度什运至白沙高速公路鹦哥岭隧道及连接线工程项目到位资金</w:t>
      </w:r>
      <w:r>
        <w:rPr>
          <w:rFonts w:hint="eastAsia" w:cs="仿宋_GB2312"/>
          <w:kern w:val="2"/>
          <w:sz w:val="32"/>
          <w:szCs w:val="32"/>
          <w:lang w:val="en-US" w:eastAsia="zh-CN"/>
        </w:rPr>
        <w:t>35809</w:t>
      </w:r>
      <w:r>
        <w:rPr>
          <w:rFonts w:hint="eastAsia" w:ascii="仿宋_GB2312" w:hAnsi="仿宋_GB2312" w:eastAsia="仿宋_GB2312" w:cs="仿宋_GB2312"/>
          <w:kern w:val="2"/>
          <w:sz w:val="32"/>
          <w:szCs w:val="32"/>
        </w:rPr>
        <w:t>万元</w:t>
      </w:r>
      <w:r>
        <w:rPr>
          <w:rFonts w:hint="eastAsia" w:cs="仿宋_GB2312"/>
          <w:kern w:val="2"/>
          <w:sz w:val="32"/>
          <w:szCs w:val="32"/>
          <w:lang w:eastAsia="zh-CN"/>
        </w:rPr>
        <w:t>（</w:t>
      </w:r>
      <w:r>
        <w:rPr>
          <w:rFonts w:hint="eastAsia" w:cs="仿宋_GB2312"/>
          <w:kern w:val="2"/>
          <w:sz w:val="32"/>
          <w:szCs w:val="32"/>
          <w:lang w:val="en-US" w:eastAsia="zh-CN"/>
        </w:rPr>
        <w:t>含债券资金及省财基建资金）</w:t>
      </w:r>
      <w:r>
        <w:rPr>
          <w:rFonts w:hint="eastAsia" w:ascii="仿宋_GB2312" w:hAnsi="仿宋_GB2312" w:eastAsia="仿宋_GB2312" w:cs="仿宋_GB2312"/>
          <w:kern w:val="2"/>
          <w:sz w:val="32"/>
          <w:szCs w:val="32"/>
        </w:rPr>
        <w:t>，资金到位率100%。</w:t>
      </w:r>
    </w:p>
    <w:p>
      <w:pPr>
        <w:widowControl w:val="0"/>
        <w:spacing w:line="560" w:lineRule="exact"/>
        <w:ind w:firstLine="643" w:firstLineChars="200"/>
        <w:jc w:val="both"/>
        <w:outlineLvl w:val="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(二）项目资金使用情况</w:t>
      </w:r>
    </w:p>
    <w:p>
      <w:pPr>
        <w:widowControl w:val="0"/>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color w:val="000000"/>
          <w:kern w:val="2"/>
          <w:sz w:val="32"/>
          <w:szCs w:val="32"/>
        </w:rPr>
        <w:t>截至2023年12月31日，</w:t>
      </w:r>
      <w:r>
        <w:rPr>
          <w:rFonts w:hint="eastAsia" w:ascii="仿宋_GB2312" w:hAnsi="仿宋_GB2312" w:eastAsia="仿宋_GB2312" w:cs="仿宋_GB2312"/>
          <w:kern w:val="2"/>
          <w:sz w:val="32"/>
          <w:szCs w:val="32"/>
        </w:rPr>
        <w:t>什运至白沙高速公路鹦哥岭隧道及连接线工程项目当年</w:t>
      </w:r>
      <w:r>
        <w:rPr>
          <w:rFonts w:hint="eastAsia" w:ascii="仿宋_GB2312" w:hAnsi="仿宋_GB2312" w:eastAsia="仿宋_GB2312" w:cs="仿宋_GB2312"/>
          <w:color w:val="000000"/>
          <w:kern w:val="2"/>
          <w:sz w:val="32"/>
          <w:szCs w:val="32"/>
        </w:rPr>
        <w:t>实际</w:t>
      </w:r>
      <w:bookmarkStart w:id="0" w:name="_GoBack"/>
      <w:bookmarkEnd w:id="0"/>
      <w:r>
        <w:rPr>
          <w:rFonts w:hint="eastAsia" w:ascii="仿宋_GB2312" w:hAnsi="仿宋_GB2312" w:eastAsia="仿宋_GB2312" w:cs="仿宋_GB2312"/>
          <w:color w:val="000000"/>
          <w:kern w:val="2"/>
          <w:sz w:val="32"/>
          <w:szCs w:val="32"/>
        </w:rPr>
        <w:t>支出</w:t>
      </w:r>
      <w:r>
        <w:rPr>
          <w:rFonts w:hint="eastAsia" w:cs="仿宋_GB2312"/>
          <w:kern w:val="2"/>
          <w:sz w:val="32"/>
          <w:szCs w:val="32"/>
          <w:lang w:val="en-US" w:eastAsia="zh-CN"/>
        </w:rPr>
        <w:t>35809</w:t>
      </w:r>
      <w:r>
        <w:rPr>
          <w:rFonts w:hint="eastAsia" w:ascii="仿宋_GB2312" w:hAnsi="仿宋_GB2312" w:eastAsia="仿宋_GB2312" w:cs="仿宋_GB2312"/>
          <w:color w:val="000000"/>
          <w:kern w:val="2"/>
          <w:sz w:val="32"/>
          <w:szCs w:val="32"/>
        </w:rPr>
        <w:t>万元，</w:t>
      </w:r>
      <w:r>
        <w:rPr>
          <w:rFonts w:hint="eastAsia" w:ascii="仿宋_GB2312" w:hAnsi="仿宋_GB2312" w:eastAsia="仿宋_GB2312" w:cs="仿宋_GB2312"/>
          <w:kern w:val="2"/>
          <w:sz w:val="32"/>
          <w:szCs w:val="32"/>
        </w:rPr>
        <w:t>资金使用率100%。</w:t>
      </w:r>
    </w:p>
    <w:p>
      <w:pPr>
        <w:widowControl w:val="0"/>
        <w:spacing w:line="560" w:lineRule="exact"/>
        <w:ind w:firstLine="643" w:firstLineChars="200"/>
        <w:jc w:val="both"/>
        <w:outlineLvl w:val="0"/>
        <w:rPr>
          <w:rFonts w:ascii="仿宋_GB2312" w:hAnsi="仿宋_GB2312" w:eastAsia="仿宋_GB2312" w:cs="仿宋_GB2312"/>
          <w:b/>
          <w:bCs/>
          <w:kern w:val="2"/>
          <w:sz w:val="32"/>
          <w:szCs w:val="32"/>
        </w:rPr>
      </w:pPr>
      <w:r>
        <w:rPr>
          <w:rFonts w:hint="eastAsia" w:ascii="仿宋_GB2312" w:hAnsi="仿宋_GB2312" w:eastAsia="仿宋_GB2312" w:cs="仿宋_GB2312"/>
          <w:b/>
          <w:bCs/>
          <w:kern w:val="2"/>
          <w:sz w:val="32"/>
          <w:szCs w:val="32"/>
        </w:rPr>
        <w:t>（三）项目资金管理情况</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严格按照国家相关规定使用项目资金，实行专款专用。根据项目进度申请拨付使用资金，严格履行规定的审批程序，最后按照审核无误的手续完成资金拨付，同时，接受财政、审计等部门对资金使用情况的跟踪监督检查，确保项目资金使用安全有效。</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三、项目组织实施情况</w:t>
      </w:r>
    </w:p>
    <w:p>
      <w:pPr>
        <w:widowControl/>
        <w:spacing w:line="560" w:lineRule="exact"/>
        <w:ind w:firstLine="640" w:firstLineChars="200"/>
        <w:jc w:val="both"/>
        <w:outlineLvl w:val="0"/>
        <w:rPr>
          <w:rFonts w:ascii="宋体" w:hAnsi="宋体" w:eastAsia="宋体" w:cs="Times New Roman"/>
          <w:kern w:val="0"/>
          <w:sz w:val="32"/>
          <w:szCs w:val="32"/>
        </w:rPr>
      </w:pPr>
      <w:r>
        <w:rPr>
          <w:rFonts w:hint="eastAsia" w:ascii="仿宋_GB2312" w:hAnsi="仿宋_GB2312" w:eastAsia="仿宋_GB2312" w:cs="仿宋_GB2312"/>
          <w:kern w:val="0"/>
          <w:sz w:val="32"/>
          <w:szCs w:val="32"/>
        </w:rPr>
        <w:t>（一）项目组织情况</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海南交通投资控股有限公司琼交投</w:t>
      </w:r>
      <w:r>
        <w:rPr>
          <w:rFonts w:hint="eastAsia" w:ascii="楷体" w:hAnsi="楷体" w:eastAsia="楷体" w:cs="楷体"/>
          <w:kern w:val="0"/>
          <w:sz w:val="32"/>
          <w:szCs w:val="32"/>
        </w:rPr>
        <w:t>〔</w:t>
      </w:r>
      <w:r>
        <w:rPr>
          <w:rFonts w:hint="eastAsia" w:ascii="仿宋_GB2312" w:hAnsi="仿宋_GB2312" w:eastAsia="仿宋_GB2312" w:cs="仿宋_GB2312"/>
          <w:kern w:val="0"/>
          <w:sz w:val="32"/>
          <w:szCs w:val="32"/>
        </w:rPr>
        <w:t>2023</w:t>
      </w:r>
      <w:r>
        <w:rPr>
          <w:rFonts w:hint="eastAsia" w:ascii="楷体" w:hAnsi="楷体" w:eastAsia="楷体" w:cs="楷体"/>
          <w:kern w:val="0"/>
          <w:sz w:val="32"/>
          <w:szCs w:val="32"/>
        </w:rPr>
        <w:t>〕</w:t>
      </w:r>
      <w:r>
        <w:rPr>
          <w:rFonts w:hint="eastAsia" w:ascii="仿宋_GB2312" w:hAnsi="仿宋_GB2312" w:eastAsia="仿宋_GB2312" w:cs="仿宋_GB2312"/>
          <w:kern w:val="0"/>
          <w:sz w:val="32"/>
          <w:szCs w:val="32"/>
        </w:rPr>
        <w:t>386号文明确由海南交投项目建设管理有限公司作为项目建设管理单位，负责统筹推进项目全过程建设和运营管理相关工作，依法合规做好报建报监、工程质量、招标与合同管理、安全生产、计划与进度管理、投资控制、征地拆迁及廉政建设等相关工作。</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（二）项目管理情况</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本项目根据项目的特点和规模，建立相应的组织架构和分工合作机制，明确各部门的职责和任务，确保项目各项任务能够顺利开展。</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根据项目实际建设进度和情况，积极引入先进的施工技术和管理经验，提高项目施工的效率和质量，降低项目成本，提升项目的综合效益。</w:t>
      </w:r>
    </w:p>
    <w:p>
      <w:pPr>
        <w:spacing w:line="560" w:lineRule="exact"/>
        <w:ind w:firstLine="640" w:firstLineChars="200"/>
        <w:jc w:val="both"/>
        <w:rPr>
          <w:rFonts w:ascii="宋体" w:hAnsi="宋体" w:eastAsia="宋体" w:cs="Times New Roman"/>
          <w:sz w:val="32"/>
          <w:szCs w:val="32"/>
          <w:lang w:val="en-US" w:eastAsia="zh-CN" w:bidi="ar-SA"/>
        </w:rPr>
      </w:pPr>
      <w:r>
        <w:rPr>
          <w:rFonts w:hint="eastAsia" w:ascii="仿宋_GB2312" w:hAnsi="仿宋_GB2312" w:eastAsia="仿宋_GB2312" w:cs="仿宋_GB2312"/>
          <w:sz w:val="32"/>
          <w:szCs w:val="32"/>
          <w:lang w:val="en-US" w:eastAsia="zh-CN" w:bidi="ar-SA"/>
        </w:rPr>
        <w:t>同时建立有效的项目管理和监督机制，包括项目管理流程、质量标准、安全规范等，确保项目施工过程中的质量、安全、进度等方面得到有效控制。</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四、项目绩效情况</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（一）项目绩效目标完成情况。</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（1）数量指标：数量指标：前期工作完成数量≥3，实际完成值3。项目工可批复、初步设计批复、施工图批复均已完成。</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（2）质量指标：按照监理/中试抽检整体合格率≥90%，实际完成值98.9%。截止2023年年底，本项目实际抽检442次，合格437次，合格率98.9%。</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（3）经济成本指标：批复预算金额占批复概算金额比例≤100%，实际完成值76%。项目批复概算金额329944万元，批复预算金额252079万元，占概算批复金额329944万元的76%。</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（4）社会效益指标：基本公共服务水平</w:t>
      </w:r>
      <w:r>
        <w:rPr>
          <w:rFonts w:hint="eastAsia" w:ascii="仿宋_GB2312" w:hAnsi="仿宋_GB2312" w:eastAsia="仿宋_GB2312" w:cs="仿宋_GB2312"/>
          <w:kern w:val="0"/>
          <w:sz w:val="32"/>
          <w:szCs w:val="32"/>
        </w:rPr>
        <w:tab/>
      </w:r>
      <w:r>
        <w:rPr>
          <w:rFonts w:hint="eastAsia" w:ascii="仿宋_GB2312" w:hAnsi="仿宋_GB2312" w:eastAsia="仿宋_GB2312" w:cs="仿宋_GB2312"/>
          <w:kern w:val="0"/>
          <w:sz w:val="32"/>
          <w:szCs w:val="32"/>
        </w:rPr>
        <w:t>提升，实际完成值提升。项目的建设对完善我省中部地区路网结构，解决五指山、白沙、琼中地区的快速互联互通，推动乡村振兴，加快中部资源开发、实现区域协调发展，巩固拓展脱贫攻坚成果具有重要意义。</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（二）项目绩效目标未完成情况及原因分析</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已完成项目绩效目标。</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五、其他需要说明的问题</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（一）后续工作计划</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ascii="仿宋_GB2312" w:hAnsi="仿宋_GB2312" w:eastAsia="仿宋_GB2312" w:cs="仿宋_GB2312"/>
          <w:kern w:val="0"/>
          <w:sz w:val="32"/>
          <w:szCs w:val="32"/>
        </w:rPr>
        <w:t>一是加强对工程实体结构和原材料的质量检测，加大抽检力度，以数据为依据控制工程质量，确保使用的材料和设备符合规范和标准；二是按照基本建设程序要求，严格执行三级检验制度，大力推行“首件工程认可制”，确保质量管理体系有效运行，工程质量安全可控；三是强化试验检测管理，严肃外委试验管理，严格执行施工自检、中心（监理）试验室抽检程序，严厉打击试验数据造假行为，为项目质量管控提供科学可信的数据支撑</w:t>
      </w:r>
      <w:r>
        <w:rPr>
          <w:rFonts w:hint="eastAsia" w:ascii="仿宋_GB2312" w:hAnsi="仿宋_GB2312" w:eastAsia="仿宋_GB2312" w:cs="仿宋_GB2312"/>
          <w:kern w:val="0"/>
          <w:sz w:val="32"/>
          <w:szCs w:val="32"/>
        </w:rPr>
        <w:t>。</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（二）主要经验及做法、存在问题和建议</w:t>
      </w:r>
    </w:p>
    <w:p>
      <w:pPr>
        <w:widowControl/>
        <w:spacing w:line="560" w:lineRule="exact"/>
        <w:ind w:firstLine="640" w:firstLineChars="200"/>
        <w:jc w:val="both"/>
        <w:outlineLvl w:val="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绩效评价结果的应用，既是开展绩效评价工作的基本前提，又是加强财政支出管理、增强资金绩效理念、合理配置公共资源、优化财政支出结构、强化资金管理水平、提高资金使用效益的重要手段。我们将加强绩效自评结果分析，合理应用绩效评价结果，将绩效自评情况报相关市县政府或项目业主单位上级单位。我们将绩效评价结果作为预算安排和政策调整的重要参考依据，督促资金使用单位对绩效自评发现问题进行认真整改，并要求及时报整改落实情况。我们将绩效评价结果按规定在部门门户网站或单位网站公开，接受社会监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1936D6"/>
    <w:multiLevelType w:val="singleLevel"/>
    <w:tmpl w:val="4F1936D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31053428"/>
    <w:rsid w:val="04FE3CBD"/>
    <w:rsid w:val="14DB4F49"/>
    <w:rsid w:val="2CCC1401"/>
    <w:rsid w:val="2DC931AE"/>
    <w:rsid w:val="31053428"/>
    <w:rsid w:val="494C26D0"/>
    <w:rsid w:val="5CCB3470"/>
    <w:rsid w:val="6EF36A95"/>
    <w:rsid w:val="710010F4"/>
    <w:rsid w:val="71F1067C"/>
    <w:rsid w:val="74925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方正小标宋简体"/>
      <w:kern w:val="2"/>
      <w:sz w:val="32"/>
      <w:szCs w:val="4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2024-04-19T07:27:00Z</dcterms:created>
  <dc:creator>高成就学</dc:creator>
  <cp:lastModifiedBy>林燕芬</cp:lastModifiedBy>
  <dcterms:modified xsi:type="dcterms:W3CDTF">2024-04-23T09:14:44Z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386DA86A10EF44D59EFC1CF06CE5D893_13</vt:lpwstr>
  </property>
</Properties>
</file>