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val="0"/>
        <w:kinsoku/>
        <w:overflowPunct/>
        <w:topLinePunct w:val="0"/>
        <w:autoSpaceDE w:val="0"/>
        <w:autoSpaceDN w:val="0"/>
        <w:bidi w:val="0"/>
        <w:spacing w:line="560" w:lineRule="exact"/>
        <w:ind w:firstLine="0" w:firstLineChars="0"/>
        <w:jc w:val="center"/>
        <w:rPr>
          <w:rFonts w:hint="default" w:ascii="Times New Roman" w:hAnsi="Times New Roman" w:eastAsia="方正黑体简体" w:cs="Times New Roman"/>
          <w:b/>
          <w:color w:val="auto"/>
          <w:w w:val="95"/>
          <w:sz w:val="24"/>
          <w:szCs w:val="24"/>
          <w:highlight w:val="none"/>
        </w:rPr>
      </w:pPr>
    </w:p>
    <w:p>
      <w:pPr>
        <w:pStyle w:val="10"/>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方正黑体简体" w:cs="Times New Roman"/>
          <w:b/>
          <w:color w:val="auto"/>
          <w:w w:val="95"/>
          <w:sz w:val="24"/>
          <w:szCs w:val="24"/>
          <w:highlight w:val="none"/>
        </w:rPr>
      </w:pPr>
    </w:p>
    <w:p>
      <w:pPr>
        <w:pStyle w:val="10"/>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方正黑体简体" w:cs="Times New Roman"/>
          <w:b/>
          <w:color w:val="auto"/>
          <w:w w:val="95"/>
          <w:sz w:val="24"/>
          <w:szCs w:val="24"/>
          <w:highlight w:val="none"/>
        </w:rPr>
      </w:pPr>
    </w:p>
    <w:p>
      <w:pPr>
        <w:pStyle w:val="10"/>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方正黑体简体" w:cs="Times New Roman"/>
          <w:b/>
          <w:color w:val="auto"/>
          <w:w w:val="95"/>
          <w:sz w:val="24"/>
          <w:szCs w:val="24"/>
          <w:highlight w:val="none"/>
        </w:rPr>
      </w:pPr>
    </w:p>
    <w:p>
      <w:pPr>
        <w:pStyle w:val="10"/>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textAlignment w:val="auto"/>
        <w:rPr>
          <w:rFonts w:hint="default" w:ascii="Times New Roman" w:hAnsi="Times New Roman" w:eastAsia="方正黑体简体" w:cs="Times New Roman"/>
          <w:b/>
          <w:color w:val="auto"/>
          <w:w w:val="95"/>
          <w:sz w:val="24"/>
          <w:szCs w:val="24"/>
          <w:highlight w:val="none"/>
        </w:rPr>
      </w:pPr>
    </w:p>
    <w:p>
      <w:pPr>
        <w:pageBreakBefore w:val="0"/>
        <w:tabs>
          <w:tab w:val="left" w:pos="4942"/>
        </w:tabs>
        <w:kinsoku/>
        <w:overflowPunct/>
        <w:topLinePunct w:val="0"/>
        <w:bidi w:val="0"/>
        <w:adjustRightInd w:val="0"/>
        <w:snapToGrid w:val="0"/>
        <w:spacing w:before="156" w:beforeLines="50" w:line="560" w:lineRule="exact"/>
        <w:ind w:firstLine="0" w:firstLineChars="0"/>
        <w:jc w:val="center"/>
        <w:outlineLvl w:val="0"/>
        <w:rPr>
          <w:rFonts w:hint="default" w:ascii="Times New Roman" w:hAnsi="Times New Roman" w:eastAsia="方正小标宋_GBK" w:cs="Times New Roman"/>
          <w:b w:val="0"/>
          <w:bCs/>
          <w:color w:val="auto"/>
          <w:sz w:val="44"/>
          <w:szCs w:val="44"/>
          <w:highlight w:val="none"/>
          <w:lang w:val="en-US" w:eastAsia="zh-CN"/>
        </w:rPr>
      </w:pPr>
      <w:bookmarkStart w:id="0" w:name="_Toc19378"/>
      <w:bookmarkStart w:id="1" w:name="_Toc22670"/>
      <w:bookmarkStart w:id="2" w:name="_Toc17491"/>
      <w:r>
        <w:rPr>
          <w:rFonts w:hint="default" w:ascii="Times New Roman" w:hAnsi="Times New Roman" w:eastAsia="方正小标宋_GBK" w:cs="Times New Roman"/>
          <w:b w:val="0"/>
          <w:bCs/>
          <w:color w:val="auto"/>
          <w:sz w:val="44"/>
          <w:szCs w:val="44"/>
          <w:highlight w:val="none"/>
          <w:lang w:val="en-US" w:eastAsia="zh-CN"/>
        </w:rPr>
        <w:t>海南省交通运输厅2023年高速公路建设偿债</w:t>
      </w:r>
      <w:r>
        <w:rPr>
          <w:rFonts w:hint="default" w:ascii="Times New Roman" w:hAnsi="Times New Roman" w:eastAsia="方正小标宋_GBK" w:cs="Times New Roman"/>
          <w:b w:val="0"/>
          <w:bCs/>
          <w:color w:val="auto"/>
          <w:sz w:val="44"/>
          <w:szCs w:val="44"/>
          <w:highlight w:val="none"/>
        </w:rPr>
        <w:t>项目绩效评价报告</w:t>
      </w:r>
      <w:bookmarkEnd w:id="0"/>
      <w:bookmarkEnd w:id="1"/>
      <w:bookmarkEnd w:id="2"/>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7"/>
        <w:pageBreakBefore w:val="0"/>
        <w:kinsoku/>
        <w:overflowPunct/>
        <w:topLinePunct w:val="0"/>
        <w:bidi w:val="0"/>
        <w:spacing w:line="560" w:lineRule="exact"/>
        <w:ind w:firstLine="723"/>
        <w:rPr>
          <w:rFonts w:hint="default" w:ascii="Times New Roman" w:hAnsi="Times New Roman" w:cs="Times New Roman"/>
          <w:b/>
          <w:color w:val="auto"/>
          <w:sz w:val="36"/>
          <w:highlight w:val="none"/>
        </w:rPr>
      </w:pPr>
    </w:p>
    <w:p>
      <w:pPr>
        <w:pStyle w:val="16"/>
        <w:pageBreakBefore w:val="0"/>
        <w:kinsoku/>
        <w:overflowPunct/>
        <w:topLinePunct w:val="0"/>
        <w:bidi w:val="0"/>
        <w:spacing w:line="560" w:lineRule="exact"/>
        <w:ind w:left="0" w:leftChars="0" w:firstLine="0" w:firstLineChars="0"/>
        <w:jc w:val="center"/>
        <w:rPr>
          <w:rFonts w:hint="default" w:ascii="Times New Roman" w:hAnsi="Times New Roman" w:eastAsia="黑体" w:cs="Times New Roman"/>
          <w:b/>
          <w:kern w:val="0"/>
          <w:szCs w:val="32"/>
          <w:highlight w:val="none"/>
          <w:lang w:val="en" w:eastAsia="zh-CN"/>
        </w:rPr>
      </w:pPr>
      <w:bookmarkStart w:id="3" w:name="_Toc10598"/>
      <w:bookmarkStart w:id="4" w:name="_Toc9526"/>
      <w:bookmarkStart w:id="5" w:name="_Toc7241"/>
      <w:r>
        <w:rPr>
          <w:rFonts w:hint="default" w:ascii="Times New Roman" w:hAnsi="Times New Roman" w:eastAsia="黑体" w:cs="Times New Roman"/>
          <w:b/>
          <w:kern w:val="0"/>
          <w:szCs w:val="32"/>
          <w:highlight w:val="none"/>
          <w:lang w:val="en" w:eastAsia="zh-CN"/>
        </w:rPr>
        <w:t>海南省交通运输厅</w:t>
      </w:r>
    </w:p>
    <w:p>
      <w:pPr>
        <w:pStyle w:val="16"/>
        <w:pageBreakBefore w:val="0"/>
        <w:kinsoku/>
        <w:overflowPunct/>
        <w:topLinePunct w:val="0"/>
        <w:bidi w:val="0"/>
        <w:spacing w:line="560" w:lineRule="exact"/>
        <w:ind w:left="0" w:leftChars="0" w:firstLine="0" w:firstLineChars="0"/>
        <w:jc w:val="center"/>
        <w:rPr>
          <w:rFonts w:hint="default" w:ascii="Times New Roman" w:hAnsi="Times New Roman" w:eastAsia="黑体" w:cs="Times New Roman"/>
          <w:b/>
          <w:kern w:val="0"/>
          <w:szCs w:val="32"/>
          <w:highlight w:val="none"/>
        </w:rPr>
      </w:pPr>
    </w:p>
    <w:p>
      <w:pPr>
        <w:pStyle w:val="16"/>
        <w:pageBreakBefore w:val="0"/>
        <w:kinsoku/>
        <w:overflowPunct/>
        <w:topLinePunct w:val="0"/>
        <w:bidi w:val="0"/>
        <w:spacing w:line="560" w:lineRule="exact"/>
        <w:ind w:left="0" w:leftChars="0" w:firstLine="0" w:firstLineChars="0"/>
        <w:jc w:val="center"/>
        <w:rPr>
          <w:rFonts w:hint="default" w:ascii="Times New Roman" w:hAnsi="Times New Roman" w:eastAsia="黑体" w:cs="Times New Roman"/>
          <w:b/>
          <w:kern w:val="0"/>
          <w:szCs w:val="32"/>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2835" w:right="1417" w:bottom="1417" w:left="1984" w:header="851" w:footer="992" w:gutter="0"/>
          <w:pgNumType w:start="1"/>
          <w:cols w:space="0" w:num="1"/>
          <w:docGrid w:type="lines" w:linePitch="312" w:charSpace="0"/>
        </w:sectPr>
      </w:pPr>
      <w:r>
        <w:rPr>
          <w:rFonts w:hint="default" w:ascii="Times New Roman" w:hAnsi="Times New Roman" w:eastAsia="黑体" w:cs="Times New Roman"/>
          <w:b/>
          <w:kern w:val="0"/>
          <w:szCs w:val="32"/>
          <w:highlight w:val="none"/>
        </w:rPr>
        <w:t>二〇二</w:t>
      </w:r>
      <w:r>
        <w:rPr>
          <w:rFonts w:hint="default" w:ascii="Times New Roman" w:hAnsi="Times New Roman" w:eastAsia="黑体" w:cs="Times New Roman"/>
          <w:b/>
          <w:kern w:val="0"/>
          <w:szCs w:val="32"/>
          <w:highlight w:val="none"/>
          <w:lang w:val="en-US" w:eastAsia="zh-CN"/>
        </w:rPr>
        <w:t>四</w:t>
      </w:r>
      <w:r>
        <w:rPr>
          <w:rFonts w:hint="default" w:ascii="Times New Roman" w:hAnsi="Times New Roman" w:eastAsia="黑体" w:cs="Times New Roman"/>
          <w:b/>
          <w:kern w:val="0"/>
          <w:szCs w:val="32"/>
          <w:highlight w:val="none"/>
        </w:rPr>
        <w:t>年</w:t>
      </w:r>
      <w:r>
        <w:rPr>
          <w:rFonts w:hint="default" w:ascii="Times New Roman" w:hAnsi="Times New Roman" w:eastAsia="黑体" w:cs="Times New Roman"/>
          <w:b/>
          <w:kern w:val="0"/>
          <w:szCs w:val="32"/>
          <w:highlight w:val="none"/>
          <w:lang w:eastAsia="zh-CN"/>
        </w:rPr>
        <w:t>五</w:t>
      </w:r>
      <w:r>
        <w:rPr>
          <w:rFonts w:hint="default" w:ascii="Times New Roman" w:hAnsi="Times New Roman" w:eastAsia="黑体" w:cs="Times New Roman"/>
          <w:b/>
          <w:kern w:val="0"/>
          <w:szCs w:val="32"/>
          <w:highlight w:val="none"/>
        </w:rPr>
        <w:t>月</w:t>
      </w:r>
    </w:p>
    <w:bookmarkEnd w:id="3"/>
    <w:bookmarkEnd w:id="4"/>
    <w:bookmarkEnd w:id="5"/>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52"/>
          <w:szCs w:val="44"/>
          <w:highlight w:val="none"/>
        </w:rPr>
      </w:pPr>
      <w:bookmarkStart w:id="157" w:name="_GoBack"/>
      <w:bookmarkEnd w:id="157"/>
      <w:r>
        <w:rPr>
          <w:rFonts w:hint="default" w:ascii="Times New Roman" w:hAnsi="Times New Roman" w:eastAsia="宋体" w:cs="Times New Roman"/>
          <w:b/>
          <w:bCs/>
          <w:color w:val="auto"/>
          <w:sz w:val="36"/>
          <w:szCs w:val="44"/>
          <w:highlight w:val="none"/>
        </w:rPr>
        <w:t>目录</w:t>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TOC \o "1-3" \h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_Toc31492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一、基本情况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_Toc31492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_Toc30894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（一</w:t>
      </w:r>
      <w:r>
        <w:rPr>
          <w:rFonts w:hint="default" w:ascii="Times New Roman" w:hAnsi="Times New Roman" w:eastAsia="楷体_GB2312" w:cs="Times New Roman"/>
          <w:color w:val="auto"/>
          <w:spacing w:val="-29"/>
          <w:sz w:val="28"/>
          <w:szCs w:val="22"/>
          <w:highlight w:val="none"/>
        </w:rPr>
        <w:t>）</w:t>
      </w:r>
      <w:r>
        <w:rPr>
          <w:rFonts w:hint="default" w:ascii="Times New Roman" w:hAnsi="Times New Roman" w:eastAsia="楷体_GB2312" w:cs="Times New Roman"/>
          <w:color w:val="auto"/>
          <w:spacing w:val="-9"/>
          <w:sz w:val="28"/>
          <w:szCs w:val="22"/>
          <w:highlight w:val="none"/>
        </w:rPr>
        <w:t>项目概况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_Toc30894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_Toc26409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（二）项目绩效目标</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_Toc26409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_Toc31122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二、绩效评价工作开展情况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_Toc31122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_Toc5016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（一）绩效评价目的、对象和范围</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_Toc5016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_Toc29290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（二）绩效评价原则、评价指标体系、评价方法、评价标准</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_Toc29290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_Toc19460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（三）绩效评价工作过程</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_Toc19460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12</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_Toc27066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三、综合评价情况及评价结论（附相关评分表）</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_Toc27066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14</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_Toc31162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四、绩效评价指标分析</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_Toc31162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15</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_Toc6772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（一）项目决策情况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_Toc6772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15</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_Toc14677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（二）项目过程情况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_Toc14677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19</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_Toc29936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（三）项目产出情况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_Toc29936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23</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4"/>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_Toc25955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楷体_GB2312" w:cs="Times New Roman"/>
          <w:color w:val="auto"/>
          <w:sz w:val="28"/>
          <w:szCs w:val="22"/>
          <w:highlight w:val="none"/>
        </w:rPr>
        <w:t>（四）项目效益情况</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_Toc25955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29</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_Toc15784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五、主要经验及做法</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_Toc15784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30</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_Toc9066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六、存在的问题及原因分析</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_Toc9066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31</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_Toc31430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七、有关建议</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_Toc31430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31</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_Toc22648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rPr>
        <w:t>八、其他需要说明的问题</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_Toc22648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32</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sz w:val="28"/>
          <w:szCs w:val="22"/>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_Toc23300 </w:instrText>
      </w:r>
      <w:r>
        <w:rPr>
          <w:rFonts w:hint="default" w:ascii="Times New Roman" w:hAnsi="Times New Roman" w:cs="Times New Roman"/>
          <w:color w:val="auto"/>
          <w:sz w:val="28"/>
          <w:szCs w:val="22"/>
          <w:highlight w:val="none"/>
        </w:rPr>
        <w:fldChar w:fldCharType="separate"/>
      </w:r>
      <w:r>
        <w:rPr>
          <w:rFonts w:hint="default" w:ascii="Times New Roman" w:hAnsi="Times New Roman" w:eastAsia="Heiti SC Medium" w:cs="Times New Roman"/>
          <w:color w:val="auto"/>
          <w:sz w:val="28"/>
          <w:szCs w:val="22"/>
          <w:highlight w:val="none"/>
          <w:lang w:eastAsia="zh-Hans"/>
        </w:rPr>
        <w:t>附件</w:t>
      </w:r>
      <w:r>
        <w:rPr>
          <w:rFonts w:hint="default" w:ascii="Times New Roman" w:hAnsi="Times New Roman" w:eastAsia="Heiti SC Medium" w:cs="Times New Roman"/>
          <w:color w:val="auto"/>
          <w:sz w:val="28"/>
          <w:szCs w:val="22"/>
          <w:highlight w:val="none"/>
          <w:lang w:eastAsia="zh-CN"/>
        </w:rPr>
        <w:t>：</w:t>
      </w:r>
      <w:r>
        <w:rPr>
          <w:rFonts w:hint="default" w:ascii="Times New Roman" w:hAnsi="Times New Roman" w:eastAsia="Heiti SC Medium" w:cs="Times New Roman"/>
          <w:color w:val="auto"/>
          <w:sz w:val="28"/>
          <w:szCs w:val="22"/>
          <w:highlight w:val="none"/>
          <w:lang w:eastAsia="zh-Hans"/>
        </w:rPr>
        <w:t>综合评分表</w:t>
      </w:r>
      <w:r>
        <w:rPr>
          <w:rFonts w:hint="default" w:ascii="Times New Roman" w:hAnsi="Times New Roman" w:cs="Times New Roman"/>
          <w:color w:val="auto"/>
          <w:sz w:val="28"/>
          <w:szCs w:val="22"/>
          <w:highlight w:val="none"/>
        </w:rPr>
        <w:tab/>
      </w: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PAGEREF _Toc23300 \h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t>33</w:t>
      </w:r>
      <w:r>
        <w:rPr>
          <w:rFonts w:hint="default" w:ascii="Times New Roman" w:hAnsi="Times New Roman" w:cs="Times New Roman"/>
          <w:color w:val="auto"/>
          <w:sz w:val="28"/>
          <w:szCs w:val="22"/>
          <w:highlight w:val="none"/>
        </w:rPr>
        <w:fldChar w:fldCharType="end"/>
      </w:r>
      <w:r>
        <w:rPr>
          <w:rFonts w:hint="default" w:ascii="Times New Roman" w:hAnsi="Times New Roman" w:cs="Times New Roman"/>
          <w:color w:val="auto"/>
          <w:sz w:val="28"/>
          <w:szCs w:val="22"/>
          <w:highlight w:val="none"/>
        </w:rPr>
        <w:fldChar w:fldCharType="end"/>
      </w:r>
    </w:p>
    <w:p>
      <w:pPr>
        <w:pStyle w:val="13"/>
        <w:keepNext w:val="0"/>
        <w:keepLines w:val="0"/>
        <w:pageBreakBefore w:val="0"/>
        <w:widowControl w:val="0"/>
        <w:tabs>
          <w:tab w:val="right" w:leader="dot" w:pos="8505"/>
        </w:tabs>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cs="Times New Roman"/>
          <w:color w:val="auto"/>
          <w:highlight w:val="none"/>
        </w:rPr>
      </w:pPr>
      <w:r>
        <w:rPr>
          <w:rFonts w:hint="default" w:ascii="Times New Roman" w:hAnsi="Times New Roman" w:cs="Times New Roman"/>
          <w:color w:val="auto"/>
          <w:sz w:val="28"/>
          <w:szCs w:val="22"/>
          <w:highlight w:val="none"/>
        </w:rPr>
        <w:fldChar w:fldCharType="begin"/>
      </w:r>
      <w:r>
        <w:rPr>
          <w:rFonts w:hint="default" w:ascii="Times New Roman" w:hAnsi="Times New Roman" w:cs="Times New Roman"/>
          <w:color w:val="auto"/>
          <w:sz w:val="28"/>
          <w:szCs w:val="22"/>
          <w:highlight w:val="none"/>
        </w:rPr>
        <w:instrText xml:space="preserve"> HYPERLINK \l _Toc27563 </w:instrText>
      </w:r>
      <w:r>
        <w:rPr>
          <w:rFonts w:hint="default" w:ascii="Times New Roman" w:hAnsi="Times New Roman" w:cs="Times New Roman"/>
          <w:color w:val="auto"/>
          <w:sz w:val="28"/>
          <w:szCs w:val="22"/>
          <w:highlight w:val="none"/>
        </w:rPr>
        <w:fldChar w:fldCharType="separate"/>
      </w:r>
      <w:r>
        <w:rPr>
          <w:rFonts w:hint="default" w:ascii="Times New Roman" w:hAnsi="Times New Roman" w:cs="Times New Roman"/>
          <w:color w:val="auto"/>
          <w:sz w:val="28"/>
          <w:szCs w:val="22"/>
          <w:highlight w:val="none"/>
        </w:rPr>
        <w:fldChar w:fldCharType="end"/>
      </w:r>
    </w:p>
    <w:p>
      <w:pPr>
        <w:pageBreakBefore w:val="0"/>
        <w:kinsoku/>
        <w:overflowPunct/>
        <w:topLinePunct w:val="0"/>
        <w:bidi w:val="0"/>
        <w:spacing w:line="560" w:lineRule="exact"/>
        <w:ind w:left="0" w:leftChars="0" w:firstLine="0" w:firstLineChars="0"/>
        <w:rPr>
          <w:rFonts w:hint="default" w:ascii="Times New Roman" w:hAnsi="Times New Roman" w:cs="Times New Roman"/>
          <w:color w:val="auto"/>
          <w:highlight w:val="none"/>
        </w:rPr>
        <w:sectPr>
          <w:headerReference r:id="rId11" w:type="default"/>
          <w:footerReference r:id="rId12" w:type="default"/>
          <w:pgSz w:w="11906" w:h="16838"/>
          <w:pgMar w:top="2835" w:right="1417" w:bottom="1417" w:left="1984"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default" w:ascii="Times New Roman" w:hAnsi="Times New Roman" w:cs="Times New Roman"/>
          <w:color w:val="auto"/>
          <w:highlight w:val="none"/>
        </w:rPr>
        <w:fldChar w:fldCharType="end"/>
      </w:r>
    </w:p>
    <w:p>
      <w:pPr>
        <w:keepNext/>
        <w:keepLines/>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hint="default" w:ascii="Times New Roman" w:hAnsi="Times New Roman" w:eastAsia="方正黑体简体" w:cs="Times New Roman"/>
          <w:b w:val="0"/>
          <w:bCs/>
          <w:color w:val="auto"/>
          <w:sz w:val="36"/>
          <w:szCs w:val="36"/>
          <w:highlight w:val="none"/>
          <w:lang w:eastAsia="zh-CN"/>
        </w:rPr>
      </w:pPr>
      <w:bookmarkStart w:id="6" w:name="_Toc5402"/>
      <w:bookmarkStart w:id="7" w:name="_Toc602978812"/>
    </w:p>
    <w:p>
      <w:pPr>
        <w:keepNext/>
        <w:keepLines/>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9"/>
        <w:rPr>
          <w:rFonts w:hint="default" w:ascii="Times New Roman" w:hAnsi="Times New Roman" w:eastAsia="方正小标宋_GBK" w:cs="Times New Roman"/>
          <w:b w:val="0"/>
          <w:bCs/>
          <w:color w:val="auto"/>
          <w:sz w:val="44"/>
          <w:szCs w:val="44"/>
          <w:highlight w:val="none"/>
          <w:lang w:eastAsia="zh-Hans"/>
        </w:rPr>
      </w:pPr>
      <w:r>
        <w:rPr>
          <w:rFonts w:hint="default" w:ascii="Times New Roman" w:hAnsi="Times New Roman" w:eastAsia="方正小标宋_GBK" w:cs="Times New Roman"/>
          <w:b w:val="0"/>
          <w:bCs/>
          <w:color w:val="auto"/>
          <w:sz w:val="44"/>
          <w:szCs w:val="44"/>
          <w:highlight w:val="none"/>
          <w:lang w:val="en-US" w:eastAsia="zh-CN"/>
        </w:rPr>
        <w:t>海南省交通运输厅2023年高速公路建设偿债</w:t>
      </w:r>
      <w:r>
        <w:rPr>
          <w:rFonts w:hint="default" w:ascii="Times New Roman" w:hAnsi="Times New Roman" w:eastAsia="方正小标宋_GBK" w:cs="Times New Roman"/>
          <w:b w:val="0"/>
          <w:bCs/>
          <w:color w:val="auto"/>
          <w:sz w:val="44"/>
          <w:szCs w:val="44"/>
          <w:highlight w:val="none"/>
        </w:rPr>
        <w:t>项目绩效评价报告</w:t>
      </w:r>
      <w:bookmarkEnd w:id="6"/>
      <w:bookmarkEnd w:id="7"/>
    </w:p>
    <w:p>
      <w:pPr>
        <w:pageBreakBefore w:val="0"/>
        <w:kinsoku/>
        <w:overflowPunct/>
        <w:topLinePunct w:val="0"/>
        <w:bidi w:val="0"/>
        <w:spacing w:line="560" w:lineRule="exact"/>
        <w:rPr>
          <w:rFonts w:hint="default" w:ascii="Times New Roman" w:hAnsi="Times New Roman" w:cs="Times New Roman"/>
          <w:color w:val="auto"/>
          <w:highlight w:val="none"/>
          <w:lang w:eastAsia="zh-Hans"/>
        </w:rPr>
      </w:pPr>
    </w:p>
    <w:p>
      <w:pPr>
        <w:pStyle w:val="7"/>
        <w:pageBreakBefore w:val="0"/>
        <w:kinsoku/>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8" w:name="_Toc31492"/>
      <w:r>
        <w:rPr>
          <w:rFonts w:hint="default" w:ascii="Times New Roman" w:hAnsi="Times New Roman" w:eastAsia="Heiti SC Medium" w:cs="Times New Roman"/>
          <w:b/>
          <w:color w:val="auto"/>
          <w:highlight w:val="none"/>
        </w:rPr>
        <w:t>一、基本情况</w:t>
      </w:r>
      <w:bookmarkEnd w:id="8"/>
    </w:p>
    <w:p>
      <w:pPr>
        <w:pStyle w:val="7"/>
        <w:pageBreakBefore w:val="0"/>
        <w:kinsoku/>
        <w:overflowPunct/>
        <w:topLinePunct w:val="0"/>
        <w:bidi w:val="0"/>
        <w:spacing w:line="560" w:lineRule="exact"/>
        <w:outlineLvl w:val="1"/>
        <w:rPr>
          <w:rFonts w:hint="default" w:ascii="Times New Roman" w:hAnsi="Times New Roman" w:eastAsia="楷体_GB2312" w:cs="Times New Roman"/>
          <w:color w:val="auto"/>
          <w:spacing w:val="-9"/>
          <w:highlight w:val="none"/>
        </w:rPr>
      </w:pPr>
      <w:bookmarkStart w:id="9" w:name="_Toc30894"/>
      <w:r>
        <w:rPr>
          <w:rFonts w:hint="default" w:ascii="Times New Roman" w:hAnsi="Times New Roman" w:eastAsia="楷体_GB2312" w:cs="Times New Roman"/>
          <w:color w:val="auto"/>
          <w:highlight w:val="none"/>
        </w:rPr>
        <w:t>（一</w:t>
      </w:r>
      <w:r>
        <w:rPr>
          <w:rFonts w:hint="default" w:ascii="Times New Roman" w:hAnsi="Times New Roman" w:eastAsia="楷体_GB2312" w:cs="Times New Roman"/>
          <w:color w:val="auto"/>
          <w:spacing w:val="-29"/>
          <w:highlight w:val="none"/>
        </w:rPr>
        <w:t>）</w:t>
      </w:r>
      <w:r>
        <w:rPr>
          <w:rFonts w:hint="default" w:ascii="Times New Roman" w:hAnsi="Times New Roman" w:eastAsia="楷体_GB2312" w:cs="Times New Roman"/>
          <w:color w:val="auto"/>
          <w:spacing w:val="-9"/>
          <w:highlight w:val="none"/>
        </w:rPr>
        <w:t>项目概况</w:t>
      </w:r>
      <w:bookmarkEnd w:id="9"/>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0" w:name="_Toc28168"/>
      <w:bookmarkStart w:id="11" w:name="_Toc13056"/>
      <w:bookmarkStart w:id="12" w:name="_Toc12127"/>
      <w:bookmarkStart w:id="13" w:name="_Toc18675"/>
      <w:bookmarkStart w:id="14" w:name="_Toc4190"/>
      <w:r>
        <w:rPr>
          <w:rFonts w:hint="default" w:ascii="Times New Roman" w:hAnsi="Times New Roman" w:cs="Times New Roman"/>
          <w:b/>
          <w:bCs/>
          <w:color w:val="auto"/>
          <w:highlight w:val="none"/>
          <w:lang w:val="en-US" w:eastAsia="zh-CN"/>
        </w:rPr>
        <w:t>1.项目背景</w:t>
      </w:r>
      <w:bookmarkEnd w:id="10"/>
      <w:bookmarkEnd w:id="11"/>
      <w:bookmarkEnd w:id="12"/>
      <w:bookmarkEnd w:id="13"/>
      <w:bookmarkEnd w:id="14"/>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cs="Times New Roman"/>
          <w:color w:val="auto"/>
          <w:highlight w:val="none"/>
          <w:lang w:val="en-US"/>
        </w:rPr>
      </w:pPr>
      <w:r>
        <w:rPr>
          <w:rFonts w:hint="default" w:ascii="Times New Roman" w:hAnsi="Times New Roman" w:cs="Times New Roman"/>
          <w:color w:val="auto"/>
          <w:highlight w:val="none"/>
          <w:lang w:val="en-US" w:eastAsia="zh-CN"/>
        </w:rPr>
        <w:t>海南省</w:t>
      </w:r>
      <w:r>
        <w:rPr>
          <w:rFonts w:hint="default" w:ascii="Times New Roman" w:hAnsi="Times New Roman" w:cs="Times New Roman"/>
          <w:color w:val="auto"/>
          <w:highlight w:val="none"/>
        </w:rPr>
        <w:t>为提高高速公路服务水平，改善交通条件</w:t>
      </w:r>
      <w:r>
        <w:rPr>
          <w:rFonts w:hint="default" w:ascii="Times New Roman" w:hAnsi="Times New Roman" w:cs="Times New Roman"/>
          <w:color w:val="auto"/>
          <w:highlight w:val="none"/>
          <w:lang w:val="en-US" w:eastAsia="zh-CN"/>
        </w:rPr>
        <w:t>，促进海南旅游业发展</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对</w:t>
      </w:r>
      <w:r>
        <w:rPr>
          <w:rFonts w:hint="default" w:ascii="Times New Roman" w:hAnsi="Times New Roman" w:cs="Times New Roman"/>
          <w:color w:val="auto"/>
          <w:highlight w:val="none"/>
        </w:rPr>
        <w:t>海南环岛东线海口至三亚高速公路项目、海口至文昌高速公路改建等项目</w:t>
      </w:r>
      <w:r>
        <w:rPr>
          <w:rFonts w:hint="default" w:ascii="Times New Roman" w:hAnsi="Times New Roman" w:cs="Times New Roman"/>
          <w:color w:val="auto"/>
          <w:highlight w:val="none"/>
          <w:lang w:val="en-US" w:eastAsia="zh-CN"/>
        </w:rPr>
        <w:t>进行建设</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海南</w:t>
      </w:r>
      <w:r>
        <w:rPr>
          <w:rFonts w:hint="default" w:ascii="Times New Roman" w:hAnsi="Times New Roman" w:cs="Times New Roman"/>
          <w:color w:val="auto"/>
          <w:highlight w:val="none"/>
        </w:rPr>
        <w:t>省交通投资控股有限公司向进出口银行、国家开发银行等金融机构贷款，以确保项目建设用款</w:t>
      </w:r>
      <w:r>
        <w:rPr>
          <w:rFonts w:hint="default" w:ascii="Times New Roman" w:hAnsi="Times New Roman" w:cs="Times New Roman"/>
          <w:color w:val="auto"/>
          <w:highlight w:val="none"/>
          <w:lang w:val="en-US" w:eastAsia="zh-CN"/>
        </w:rPr>
        <w:t>需求，顺利推进道路建设项目</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海南</w:t>
      </w:r>
      <w:r>
        <w:rPr>
          <w:rFonts w:hint="default" w:ascii="Times New Roman" w:hAnsi="Times New Roman" w:eastAsia="仿宋_GB2312" w:cs="Times New Roman"/>
          <w:color w:val="auto"/>
          <w:sz w:val="32"/>
          <w:szCs w:val="24"/>
          <w:highlight w:val="none"/>
          <w:lang w:val="en-US" w:eastAsia="zh-CN"/>
        </w:rPr>
        <w:t>省交通投资控股有限公司向进出口银行、国家开发银行等金融机构</w:t>
      </w:r>
      <w:r>
        <w:rPr>
          <w:rFonts w:hint="default" w:ascii="Times New Roman" w:hAnsi="Times New Roman" w:cs="Times New Roman"/>
          <w:color w:val="auto"/>
          <w:sz w:val="32"/>
          <w:szCs w:val="24"/>
          <w:highlight w:val="none"/>
          <w:lang w:val="en-US" w:eastAsia="zh-CN"/>
        </w:rPr>
        <w:t>共</w:t>
      </w:r>
      <w:r>
        <w:rPr>
          <w:rFonts w:hint="default" w:ascii="Times New Roman" w:hAnsi="Times New Roman" w:eastAsia="仿宋_GB2312" w:cs="Times New Roman"/>
          <w:color w:val="auto"/>
          <w:sz w:val="32"/>
          <w:szCs w:val="24"/>
          <w:highlight w:val="none"/>
          <w:lang w:val="en-US" w:eastAsia="zh-CN"/>
        </w:rPr>
        <w:t>贷款756,564.73万元，用于海南环岛（东线）高速公路（琼海至三亚段）扩建工程、海南环岛东线海口至三亚高速公路项目、海口至洋浦1小时交通圈项目、海口至文昌高速公路改建项目、环岛高速公路改造工程九所至八所及邦溪至白马井段项目、海南中线屯昌至琼中段项目</w:t>
      </w:r>
      <w:r>
        <w:rPr>
          <w:rFonts w:hint="default" w:ascii="Times New Roman" w:hAnsi="Times New Roman" w:cs="Times New Roman"/>
          <w:color w:val="auto"/>
          <w:sz w:val="32"/>
          <w:szCs w:val="24"/>
          <w:highlight w:val="none"/>
          <w:lang w:val="en-US" w:eastAsia="zh-CN"/>
        </w:rPr>
        <w:t>等6个项目建设，以及</w:t>
      </w:r>
      <w:r>
        <w:rPr>
          <w:rFonts w:hint="default" w:ascii="Times New Roman" w:hAnsi="Times New Roman" w:eastAsia="仿宋_GB2312" w:cs="Times New Roman"/>
          <w:color w:val="auto"/>
          <w:sz w:val="32"/>
          <w:szCs w:val="24"/>
          <w:highlight w:val="none"/>
          <w:lang w:val="en-US" w:eastAsia="zh-CN"/>
        </w:rPr>
        <w:t>东线高速日元贷款（C21）、2016年专项置换债券（五年期）再融资债券、2016年专项置换债券（十年期）</w:t>
      </w:r>
      <w:r>
        <w:rPr>
          <w:rFonts w:hint="default" w:ascii="Times New Roman" w:hAnsi="Times New Roman" w:cs="Times New Roman"/>
          <w:color w:val="auto"/>
          <w:sz w:val="32"/>
          <w:szCs w:val="24"/>
          <w:highlight w:val="none"/>
          <w:lang w:val="en-US" w:eastAsia="zh-CN"/>
        </w:rPr>
        <w:t>、归垫以前年度高速公路偿债缺口</w:t>
      </w:r>
      <w:r>
        <w:rPr>
          <w:rFonts w:hint="default" w:ascii="Times New Roman" w:hAnsi="Times New Roman" w:eastAsia="仿宋_GB2312" w:cs="Times New Roman"/>
          <w:color w:val="auto"/>
          <w:sz w:val="32"/>
          <w:szCs w:val="24"/>
          <w:highlight w:val="none"/>
          <w:lang w:val="en-US" w:eastAsia="zh-CN"/>
        </w:rPr>
        <w:t>。</w:t>
      </w:r>
    </w:p>
    <w:p>
      <w:pPr>
        <w:pStyle w:val="16"/>
        <w:pageBreakBefore w:val="0"/>
        <w:kinsoku/>
        <w:overflowPunct/>
        <w:topLinePunct w:val="0"/>
        <w:bidi w:val="0"/>
        <w:spacing w:line="560" w:lineRule="exact"/>
        <w:ind w:left="0" w:leftChars="0" w:firstLine="640" w:firstLineChars="20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高速公路建设偿债项目起始时间为2021年，根据《海南省交通运输厅关于批复2023年交通运输部门预算的通知》（琼交财〔2023〕41号），2023年该项目预算申报获得批复。2023年计划偿还本金32</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144.80万元，计划支付利息16</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784.20万元。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2"/>
        <w:rPr>
          <w:rFonts w:hint="default" w:ascii="Times New Roman" w:hAnsi="Times New Roman" w:cs="Times New Roman"/>
          <w:b/>
          <w:bCs/>
          <w:color w:val="auto"/>
          <w:highlight w:val="none"/>
          <w:lang w:val="en-US" w:eastAsia="zh-CN"/>
        </w:rPr>
      </w:pPr>
      <w:bookmarkStart w:id="15" w:name="_Toc21471"/>
      <w:bookmarkStart w:id="16" w:name="_Toc10119"/>
      <w:bookmarkStart w:id="17" w:name="_Toc29345"/>
      <w:bookmarkStart w:id="18" w:name="_Toc29692"/>
      <w:bookmarkStart w:id="19" w:name="_Toc4924"/>
      <w:r>
        <w:rPr>
          <w:rFonts w:hint="default" w:ascii="Times New Roman" w:hAnsi="Times New Roman" w:cs="Times New Roman"/>
          <w:b/>
          <w:bCs/>
          <w:color w:val="auto"/>
          <w:highlight w:val="none"/>
          <w:lang w:val="en-US" w:eastAsia="zh-CN"/>
        </w:rPr>
        <w:t>2.项目实施进展、资金安排及使用情况</w:t>
      </w:r>
      <w:bookmarkEnd w:id="15"/>
      <w:bookmarkEnd w:id="16"/>
      <w:bookmarkEnd w:id="17"/>
      <w:bookmarkEnd w:id="18"/>
      <w:bookmarkEnd w:id="19"/>
    </w:p>
    <w:p>
      <w:pPr>
        <w:pStyle w:val="16"/>
        <w:pageBreakBefore w:val="0"/>
        <w:kinsoku/>
        <w:overflowPunct/>
        <w:topLinePunct w:val="0"/>
        <w:bidi w:val="0"/>
        <w:spacing w:line="560" w:lineRule="exact"/>
        <w:ind w:left="0" w:leftChars="0" w:firstLine="640" w:firstLineChars="20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海南省交通运输厅2023年高速公路建设偿债</w:t>
      </w:r>
      <w:r>
        <w:rPr>
          <w:rFonts w:hint="default" w:ascii="Times New Roman" w:hAnsi="Times New Roman" w:cs="Times New Roman"/>
          <w:color w:val="auto"/>
          <w:highlight w:val="none"/>
        </w:rPr>
        <w:t>项目</w:t>
      </w:r>
      <w:r>
        <w:rPr>
          <w:rFonts w:hint="default" w:ascii="Times New Roman" w:hAnsi="Times New Roman" w:cs="Times New Roman"/>
          <w:color w:val="auto"/>
          <w:highlight w:val="none"/>
          <w:lang w:val="en-US" w:eastAsia="zh-CN"/>
        </w:rPr>
        <w:t>预算资金48</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929</w:t>
      </w:r>
      <w:r>
        <w:rPr>
          <w:rFonts w:hint="default" w:ascii="Times New Roman" w:hAnsi="Times New Roman" w:cs="Times New Roman"/>
          <w:color w:val="auto"/>
          <w:highlight w:val="none"/>
          <w:lang w:val="en" w:eastAsia="zh-CN"/>
        </w:rPr>
        <w:t>.00</w:t>
      </w:r>
      <w:r>
        <w:rPr>
          <w:rFonts w:hint="default" w:ascii="Times New Roman" w:hAnsi="Times New Roman" w:cs="Times New Roman"/>
          <w:color w:val="auto"/>
          <w:highlight w:val="none"/>
          <w:lang w:val="en-US" w:eastAsia="zh-CN"/>
        </w:rPr>
        <w:t>万元（其中包括本金32,144.80万</w:t>
      </w:r>
      <w:r>
        <w:rPr>
          <w:rFonts w:hint="default" w:ascii="Times New Roman" w:hAnsi="Times New Roman" w:eastAsia="仿宋_GB2312" w:cs="Times New Roman"/>
          <w:color w:val="auto"/>
          <w:sz w:val="32"/>
          <w:szCs w:val="24"/>
          <w:highlight w:val="none"/>
          <w:lang w:val="en-US" w:eastAsia="zh-CN"/>
        </w:rPr>
        <w:t>元</w:t>
      </w:r>
      <w:r>
        <w:rPr>
          <w:rFonts w:hint="default" w:ascii="Times New Roman" w:hAnsi="Times New Roman" w:cs="Times New Roman"/>
          <w:color w:val="auto"/>
          <w:sz w:val="32"/>
          <w:szCs w:val="24"/>
          <w:highlight w:val="none"/>
          <w:lang w:val="en-US" w:eastAsia="zh-CN"/>
        </w:rPr>
        <w:t>、</w:t>
      </w:r>
      <w:r>
        <w:rPr>
          <w:rFonts w:hint="default" w:ascii="Times New Roman" w:hAnsi="Times New Roman" w:cs="Times New Roman"/>
          <w:color w:val="auto"/>
          <w:highlight w:val="none"/>
          <w:lang w:val="en-US" w:eastAsia="zh-CN"/>
        </w:rPr>
        <w:t>利息16,784.20万元），资金来源的文件依据为：2023年1月30日</w:t>
      </w:r>
      <w:r>
        <w:rPr>
          <w:rFonts w:hint="default" w:ascii="Times New Roman" w:hAnsi="Times New Roman" w:cs="Times New Roman"/>
          <w:color w:val="auto"/>
          <w:highlight w:val="none"/>
        </w:rPr>
        <w:t>《海南省交通运输厅关于批复2023年交通运输部门预算的通知》（琼交财〔202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41</w:t>
      </w:r>
      <w:r>
        <w:rPr>
          <w:rFonts w:hint="default" w:ascii="Times New Roman" w:hAnsi="Times New Roman" w:cs="Times New Roman"/>
          <w:color w:val="auto"/>
          <w:highlight w:val="none"/>
        </w:rPr>
        <w:t>号）</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该项目实际到位资金48</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929</w:t>
      </w:r>
      <w:r>
        <w:rPr>
          <w:rFonts w:hint="default" w:ascii="Times New Roman" w:hAnsi="Times New Roman" w:cs="Times New Roman"/>
          <w:color w:val="auto"/>
          <w:highlight w:val="none"/>
          <w:lang w:val="en" w:eastAsia="zh-CN"/>
        </w:rPr>
        <w:t>.00</w:t>
      </w:r>
      <w:r>
        <w:rPr>
          <w:rFonts w:hint="default" w:ascii="Times New Roman" w:hAnsi="Times New Roman" w:cs="Times New Roman"/>
          <w:color w:val="auto"/>
          <w:highlight w:val="none"/>
          <w:lang w:val="en-US" w:eastAsia="zh-CN"/>
        </w:rPr>
        <w:t>万元，截至2023年12月31日实际支出资金48</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929</w:t>
      </w:r>
      <w:r>
        <w:rPr>
          <w:rFonts w:hint="default" w:ascii="Times New Roman" w:hAnsi="Times New Roman" w:cs="Times New Roman"/>
          <w:color w:val="auto"/>
          <w:highlight w:val="none"/>
          <w:lang w:val="en" w:eastAsia="zh-CN"/>
        </w:rPr>
        <w:t>.00</w:t>
      </w:r>
      <w:r>
        <w:rPr>
          <w:rFonts w:hint="default" w:ascii="Times New Roman" w:hAnsi="Times New Roman" w:cs="Times New Roman"/>
          <w:color w:val="auto"/>
          <w:highlight w:val="none"/>
          <w:lang w:val="en-US" w:eastAsia="zh-CN"/>
        </w:rPr>
        <w:t>万元，资金使用率100.00%。</w:t>
      </w:r>
    </w:p>
    <w:p>
      <w:pPr>
        <w:pStyle w:val="7"/>
        <w:pageBreakBefore w:val="0"/>
        <w:kinsoku/>
        <w:overflowPunct/>
        <w:topLinePunct w:val="0"/>
        <w:bidi w:val="0"/>
        <w:spacing w:line="560" w:lineRule="exact"/>
        <w:ind w:left="0" w:leftChars="0" w:firstLine="640" w:firstLineChars="200"/>
        <w:outlineLvl w:val="1"/>
        <w:rPr>
          <w:rFonts w:hint="default" w:ascii="Times New Roman" w:hAnsi="Times New Roman" w:eastAsia="楷体_GB2312" w:cs="Times New Roman"/>
          <w:color w:val="auto"/>
          <w:highlight w:val="none"/>
        </w:rPr>
      </w:pPr>
      <w:bookmarkStart w:id="20" w:name="_Toc26409"/>
      <w:r>
        <w:rPr>
          <w:rFonts w:hint="default" w:ascii="Times New Roman" w:hAnsi="Times New Roman" w:eastAsia="楷体_GB2312" w:cs="Times New Roman"/>
          <w:color w:val="auto"/>
          <w:highlight w:val="none"/>
        </w:rPr>
        <w:t>（二）项目绩效目标</w:t>
      </w:r>
      <w:bookmarkEnd w:id="20"/>
    </w:p>
    <w:p>
      <w:pPr>
        <w:pageBreakBefore w:val="0"/>
        <w:kinsoku/>
        <w:overflowPunct/>
        <w:topLinePunct w:val="0"/>
        <w:bidi w:val="0"/>
        <w:spacing w:line="560" w:lineRule="exact"/>
        <w:rPr>
          <w:rFonts w:hint="default" w:ascii="Times New Roman" w:hAnsi="Times New Roman" w:eastAsia="仿宋_GB2312" w:cs="Times New Roman"/>
          <w:color w:val="auto"/>
          <w:highlight w:val="none"/>
        </w:rPr>
      </w:pPr>
      <w:r>
        <w:rPr>
          <w:rFonts w:hint="eastAsia" w:cs="Times New Roman"/>
          <w:color w:val="auto"/>
          <w:highlight w:val="none"/>
          <w:lang w:val="en-US" w:eastAsia="zh-CN"/>
        </w:rPr>
        <w:t>根据</w:t>
      </w:r>
      <w:r>
        <w:rPr>
          <w:rFonts w:hint="default" w:ascii="Times New Roman" w:hAnsi="Times New Roman" w:eastAsia="仿宋_GB2312" w:cs="Times New Roman"/>
          <w:color w:val="auto"/>
          <w:highlight w:val="none"/>
        </w:rPr>
        <w:t>部门编制</w:t>
      </w:r>
      <w:r>
        <w:rPr>
          <w:rFonts w:hint="default" w:ascii="Times New Roman" w:hAnsi="Times New Roman" w:cs="Times New Roman"/>
          <w:color w:val="auto"/>
          <w:highlight w:val="none"/>
          <w:lang w:val="en-US" w:eastAsia="zh-CN"/>
        </w:rPr>
        <w:t>的</w:t>
      </w:r>
      <w:r>
        <w:rPr>
          <w:rFonts w:hint="default" w:ascii="Times New Roman" w:hAnsi="Times New Roman" w:eastAsia="仿宋_GB2312" w:cs="Times New Roman"/>
          <w:color w:val="auto"/>
          <w:highlight w:val="none"/>
        </w:rPr>
        <w:t>绩效目标，</w:t>
      </w:r>
      <w:r>
        <w:rPr>
          <w:rFonts w:hint="default" w:ascii="Times New Roman" w:hAnsi="Times New Roman" w:cs="Times New Roman"/>
          <w:color w:val="auto"/>
          <w:highlight w:val="none"/>
          <w:lang w:val="en-US" w:eastAsia="zh-CN"/>
        </w:rPr>
        <w:t>评价组结合项目工作目标进行了梳理，</w:t>
      </w:r>
      <w:r>
        <w:rPr>
          <w:rFonts w:hint="default" w:ascii="Times New Roman" w:hAnsi="Times New Roman" w:eastAsia="仿宋_GB2312" w:cs="Times New Roman"/>
          <w:color w:val="auto"/>
          <w:highlight w:val="none"/>
        </w:rPr>
        <w:t>梳理后的绩效目标及指标如下：</w:t>
      </w:r>
    </w:p>
    <w:tbl>
      <w:tblPr>
        <w:tblStyle w:val="17"/>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48"/>
        <w:gridCol w:w="1908"/>
        <w:gridCol w:w="1648"/>
        <w:gridCol w:w="1678"/>
        <w:gridCol w:w="19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000" w:hRule="atLeast"/>
          <w:tblHeader/>
        </w:trPr>
        <w:tc>
          <w:tcPr>
            <w:tcW w:w="888" w:type="pct"/>
            <w:tcBorders>
              <w:bottom w:val="single" w:color="auto"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kern w:val="0"/>
                <w:sz w:val="24"/>
                <w:szCs w:val="24"/>
                <w:highlight w:val="none"/>
                <w:u w:val="none"/>
                <w:lang w:val="en-US" w:eastAsia="zh-CN" w:bidi="ar"/>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202</w:t>
            </w:r>
            <w:r>
              <w:rPr>
                <w:rFonts w:hint="default" w:ascii="Times New Roman" w:hAnsi="Times New Roman" w:cs="Times New Roman"/>
                <w:b/>
                <w:bCs/>
                <w:i w:val="0"/>
                <w:iCs w:val="0"/>
                <w:color w:val="auto"/>
                <w:kern w:val="0"/>
                <w:sz w:val="24"/>
                <w:szCs w:val="24"/>
                <w:highlight w:val="none"/>
                <w:u w:val="none"/>
                <w:lang w:val="en-US" w:eastAsia="zh-CN" w:bidi="ar"/>
              </w:rPr>
              <w:t>3</w:t>
            </w:r>
            <w:r>
              <w:rPr>
                <w:rFonts w:hint="default" w:ascii="Times New Roman" w:hAnsi="Times New Roman" w:eastAsia="仿宋_GB2312" w:cs="Times New Roman"/>
                <w:b/>
                <w:bCs/>
                <w:i w:val="0"/>
                <w:iCs w:val="0"/>
                <w:color w:val="auto"/>
                <w:kern w:val="0"/>
                <w:sz w:val="24"/>
                <w:szCs w:val="24"/>
                <w:highlight w:val="none"/>
                <w:u w:val="none"/>
                <w:lang w:val="en-US" w:eastAsia="zh-CN" w:bidi="ar"/>
              </w:rPr>
              <w:t>年</w:t>
            </w:r>
          </w:p>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总体目标</w:t>
            </w:r>
          </w:p>
        </w:tc>
        <w:tc>
          <w:tcPr>
            <w:tcW w:w="4111" w:type="pct"/>
            <w:gridSpan w:val="4"/>
            <w:tcBorders>
              <w:left w:val="nil"/>
              <w:bottom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left"/>
              <w:textAlignment w:val="bottom"/>
              <w:rPr>
                <w:rFonts w:hint="default" w:ascii="Times New Roman" w:hAnsi="Times New Roman" w:eastAsia="仿宋_GB2312" w:cs="Times New Roman"/>
                <w:i w:val="0"/>
                <w:iCs w:val="0"/>
                <w:color w:val="auto"/>
                <w:sz w:val="24"/>
                <w:szCs w:val="24"/>
                <w:highlight w:val="none"/>
                <w:u w:val="none"/>
                <w:lang w:eastAsia="zh-CN"/>
              </w:rPr>
            </w:pPr>
            <w:r>
              <w:rPr>
                <w:rFonts w:hint="default" w:ascii="Times New Roman" w:hAnsi="Times New Roman" w:eastAsia="仿宋_GB2312" w:cs="Times New Roman"/>
                <w:b w:val="0"/>
                <w:bCs w:val="0"/>
                <w:i w:val="0"/>
                <w:iCs w:val="0"/>
                <w:color w:val="auto"/>
                <w:sz w:val="24"/>
                <w:szCs w:val="24"/>
                <w:highlight w:val="none"/>
                <w:u w:val="none"/>
              </w:rPr>
              <w:t>降低交通系统负债率</w:t>
            </w:r>
            <w:r>
              <w:rPr>
                <w:rFonts w:hint="default" w:ascii="Times New Roman" w:hAnsi="Times New Roman" w:cs="Times New Roman"/>
                <w:b w:val="0"/>
                <w:bCs w:val="0"/>
                <w:i w:val="0"/>
                <w:iCs w:val="0"/>
                <w:color w:val="auto"/>
                <w:sz w:val="24"/>
                <w:szCs w:val="24"/>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88" w:type="pct"/>
            <w:tcBorders>
              <w:top w:val="single" w:color="auto"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一级指标</w:t>
            </w:r>
          </w:p>
        </w:tc>
        <w:tc>
          <w:tcPr>
            <w:tcW w:w="1094" w:type="pct"/>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二级指标</w:t>
            </w:r>
          </w:p>
        </w:tc>
        <w:tc>
          <w:tcPr>
            <w:tcW w:w="945" w:type="pct"/>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三级指标</w:t>
            </w:r>
          </w:p>
        </w:tc>
        <w:tc>
          <w:tcPr>
            <w:tcW w:w="962" w:type="pct"/>
            <w:tcBorders>
              <w:top w:val="single" w:color="auto"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指标值</w:t>
            </w:r>
          </w:p>
        </w:tc>
        <w:tc>
          <w:tcPr>
            <w:tcW w:w="1109" w:type="pct"/>
            <w:tcBorders>
              <w:top w:val="single" w:color="auto" w:sz="4" w:space="0"/>
              <w:left w:val="single" w:color="000000" w:sz="4" w:space="0"/>
              <w:bottom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888" w:type="pct"/>
            <w:vMerge w:val="restart"/>
            <w:tcBorders>
              <w:top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w:t>
            </w:r>
          </w:p>
        </w:tc>
        <w:tc>
          <w:tcPr>
            <w:tcW w:w="10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产出数量</w:t>
            </w:r>
          </w:p>
        </w:tc>
        <w:tc>
          <w:tcPr>
            <w:tcW w:w="9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还本付息完成率</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r>
              <w:rPr>
                <w:rFonts w:hint="default" w:ascii="Times New Roman" w:hAnsi="Times New Roman" w:cs="Times New Roman"/>
                <w:i w:val="0"/>
                <w:iCs w:val="0"/>
                <w:color w:val="auto"/>
                <w:kern w:val="0"/>
                <w:sz w:val="24"/>
                <w:szCs w:val="24"/>
                <w:highlight w:val="none"/>
                <w:u w:val="none"/>
                <w:lang w:val="en-US" w:eastAsia="zh-CN" w:bidi="ar"/>
              </w:rPr>
              <w:t>95</w:t>
            </w: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1109" w:type="pct"/>
            <w:tcBorders>
              <w:top w:val="single" w:color="000000" w:sz="4" w:space="0"/>
              <w:left w:val="single" w:color="000000" w:sz="4" w:space="0"/>
              <w:bottom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考察还本付息完成率。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PrEx>
        <w:trPr>
          <w:trHeight w:val="23" w:hRule="atLeast"/>
        </w:trPr>
        <w:tc>
          <w:tcPr>
            <w:tcW w:w="888" w:type="pct"/>
            <w:vMerge w:val="continue"/>
            <w:tcBorders>
              <w:top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rPr>
                <w:rFonts w:hint="default" w:ascii="Times New Roman" w:hAnsi="Times New Roman" w:eastAsia="仿宋_GB2312" w:cs="Times New Roman"/>
                <w:i w:val="0"/>
                <w:iCs w:val="0"/>
                <w:color w:val="auto"/>
                <w:sz w:val="24"/>
                <w:szCs w:val="24"/>
                <w:highlight w:val="none"/>
                <w:u w:val="none"/>
              </w:rPr>
            </w:pPr>
          </w:p>
        </w:tc>
        <w:tc>
          <w:tcPr>
            <w:tcW w:w="10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产出时效</w:t>
            </w:r>
          </w:p>
        </w:tc>
        <w:tc>
          <w:tcPr>
            <w:tcW w:w="9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按期偿债及时率</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r>
              <w:rPr>
                <w:rFonts w:hint="default" w:ascii="Times New Roman" w:hAnsi="Times New Roman" w:cs="Times New Roman"/>
                <w:i w:val="0"/>
                <w:iCs w:val="0"/>
                <w:color w:val="auto"/>
                <w:kern w:val="0"/>
                <w:sz w:val="24"/>
                <w:szCs w:val="24"/>
                <w:highlight w:val="none"/>
                <w:u w:val="none"/>
                <w:lang w:val="en-US" w:eastAsia="zh-CN" w:bidi="ar"/>
              </w:rPr>
              <w:t>90</w:t>
            </w:r>
            <w:r>
              <w:rPr>
                <w:rFonts w:hint="default" w:ascii="Times New Roman" w:hAnsi="Times New Roman" w:eastAsia="仿宋_GB2312" w:cs="Times New Roman"/>
                <w:i w:val="0"/>
                <w:iCs w:val="0"/>
                <w:color w:val="auto"/>
                <w:kern w:val="0"/>
                <w:sz w:val="24"/>
                <w:szCs w:val="24"/>
                <w:highlight w:val="none"/>
                <w:u w:val="none"/>
                <w:lang w:val="en-US" w:eastAsia="zh-CN" w:bidi="ar"/>
              </w:rPr>
              <w:t>%</w:t>
            </w:r>
          </w:p>
        </w:tc>
        <w:tc>
          <w:tcPr>
            <w:tcW w:w="1109" w:type="pct"/>
            <w:tcBorders>
              <w:top w:val="single" w:color="000000" w:sz="4" w:space="0"/>
              <w:left w:val="single" w:color="000000" w:sz="4" w:space="0"/>
              <w:bottom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考察是否按计划及时还款。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PrEx>
        <w:trPr>
          <w:trHeight w:val="23" w:hRule="atLeast"/>
        </w:trPr>
        <w:tc>
          <w:tcPr>
            <w:tcW w:w="888" w:type="pct"/>
            <w:tcBorders>
              <w:top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效益</w:t>
            </w:r>
          </w:p>
        </w:tc>
        <w:tc>
          <w:tcPr>
            <w:tcW w:w="1094" w:type="pct"/>
            <w:tcBorders>
              <w:top w:val="single" w:color="000000" w:sz="4" w:space="0"/>
              <w:left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cs="Times New Roman"/>
                <w:i w:val="0"/>
                <w:iCs w:val="0"/>
                <w:color w:val="auto"/>
                <w:kern w:val="0"/>
                <w:sz w:val="24"/>
                <w:szCs w:val="24"/>
                <w:highlight w:val="none"/>
                <w:u w:val="none"/>
                <w:lang w:val="en-US" w:eastAsia="zh-CN" w:bidi="ar"/>
              </w:rPr>
              <w:t>经济</w:t>
            </w:r>
            <w:r>
              <w:rPr>
                <w:rFonts w:hint="default" w:ascii="Times New Roman" w:hAnsi="Times New Roman" w:eastAsia="仿宋_GB2312" w:cs="Times New Roman"/>
                <w:i w:val="0"/>
                <w:iCs w:val="0"/>
                <w:color w:val="auto"/>
                <w:kern w:val="0"/>
                <w:sz w:val="24"/>
                <w:szCs w:val="24"/>
                <w:highlight w:val="none"/>
                <w:u w:val="none"/>
                <w:lang w:val="en-US" w:eastAsia="zh-CN" w:bidi="ar"/>
              </w:rPr>
              <w:t>效益</w:t>
            </w:r>
          </w:p>
        </w:tc>
        <w:tc>
          <w:tcPr>
            <w:tcW w:w="9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cs="Times New Roman"/>
                <w:i w:val="0"/>
                <w:iCs w:val="0"/>
                <w:color w:val="auto"/>
                <w:kern w:val="0"/>
                <w:sz w:val="24"/>
                <w:szCs w:val="24"/>
                <w:highlight w:val="none"/>
                <w:u w:val="none"/>
                <w:lang w:val="en-US" w:eastAsia="zh-CN" w:bidi="ar"/>
              </w:rPr>
              <w:t>负债本金减少额</w:t>
            </w:r>
          </w:p>
        </w:tc>
        <w:tc>
          <w:tcPr>
            <w:tcW w:w="96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w:t>
            </w:r>
            <w:r>
              <w:rPr>
                <w:rFonts w:hint="default" w:ascii="Times New Roman" w:hAnsi="Times New Roman" w:cs="Times New Roman"/>
                <w:i w:val="0"/>
                <w:iCs w:val="0"/>
                <w:color w:val="auto"/>
                <w:kern w:val="0"/>
                <w:sz w:val="24"/>
                <w:szCs w:val="24"/>
                <w:highlight w:val="none"/>
                <w:u w:val="none"/>
                <w:lang w:val="en-US" w:eastAsia="zh-CN" w:bidi="ar"/>
              </w:rPr>
              <w:t>30000万元</w:t>
            </w:r>
          </w:p>
        </w:tc>
        <w:tc>
          <w:tcPr>
            <w:tcW w:w="1109" w:type="pct"/>
            <w:tcBorders>
              <w:top w:val="single" w:color="000000" w:sz="4" w:space="0"/>
              <w:left w:val="single" w:color="000000" w:sz="4" w:space="0"/>
              <w:bottom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auto"/>
                <w:kern w:val="0"/>
                <w:sz w:val="24"/>
                <w:szCs w:val="24"/>
                <w:highlight w:val="none"/>
                <w:u w:val="none"/>
                <w:lang w:val="en-US" w:eastAsia="zh-CN" w:bidi="ar"/>
              </w:rPr>
            </w:pPr>
            <w:r>
              <w:rPr>
                <w:rFonts w:hint="default" w:ascii="Times New Roman" w:hAnsi="Times New Roman" w:eastAsia="仿宋_GB2312" w:cs="Times New Roman"/>
                <w:i w:val="0"/>
                <w:iCs w:val="0"/>
                <w:color w:val="auto"/>
                <w:kern w:val="0"/>
                <w:sz w:val="24"/>
                <w:szCs w:val="24"/>
                <w:highlight w:val="none"/>
                <w:u w:val="none"/>
                <w:lang w:val="en-US" w:eastAsia="zh-CN" w:bidi="ar"/>
              </w:rPr>
              <w:t>考察项目实施后负债减少情况。</w:t>
            </w:r>
          </w:p>
        </w:tc>
      </w:tr>
    </w:tbl>
    <w:p>
      <w:pPr>
        <w:pStyle w:val="7"/>
        <w:pageBreakBefore w:val="0"/>
        <w:kinsoku/>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21" w:name="_Toc31122"/>
      <w:r>
        <w:rPr>
          <w:rFonts w:hint="default" w:ascii="Times New Roman" w:hAnsi="Times New Roman" w:eastAsia="Heiti SC Medium" w:cs="Times New Roman"/>
          <w:b/>
          <w:color w:val="auto"/>
          <w:highlight w:val="none"/>
        </w:rPr>
        <w:t>二、绩效评价工作开展情况</w:t>
      </w:r>
      <w:bookmarkEnd w:id="21"/>
    </w:p>
    <w:p>
      <w:pPr>
        <w:pStyle w:val="7"/>
        <w:pageBreakBefore w:val="0"/>
        <w:kinsoku/>
        <w:overflowPunct/>
        <w:topLinePunct w:val="0"/>
        <w:bidi w:val="0"/>
        <w:spacing w:line="560" w:lineRule="exact"/>
        <w:outlineLvl w:val="1"/>
        <w:rPr>
          <w:rFonts w:hint="default" w:ascii="Times New Roman" w:hAnsi="Times New Roman" w:eastAsia="楷体_GB2312" w:cs="Times New Roman"/>
          <w:color w:val="auto"/>
          <w:highlight w:val="none"/>
        </w:rPr>
      </w:pPr>
      <w:bookmarkStart w:id="22" w:name="_Toc5016"/>
      <w:r>
        <w:rPr>
          <w:rFonts w:hint="default" w:ascii="Times New Roman" w:hAnsi="Times New Roman" w:eastAsia="楷体_GB2312" w:cs="Times New Roman"/>
          <w:color w:val="auto"/>
          <w:highlight w:val="none"/>
        </w:rPr>
        <w:t>（一）绩效评价目的、对象和范围</w:t>
      </w:r>
      <w:bookmarkEnd w:id="22"/>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rPr>
      </w:pPr>
      <w:bookmarkStart w:id="23" w:name="_Toc28648"/>
      <w:bookmarkStart w:id="24" w:name="_Toc23754"/>
      <w:bookmarkStart w:id="25" w:name="_Toc7557"/>
      <w:bookmarkStart w:id="26" w:name="_Toc30649"/>
      <w:bookmarkStart w:id="27" w:name="_Toc16947"/>
      <w:r>
        <w:rPr>
          <w:rFonts w:hint="default" w:ascii="Times New Roman" w:hAnsi="Times New Roman" w:cs="Times New Roman"/>
          <w:b/>
          <w:bCs/>
          <w:color w:val="auto"/>
          <w:highlight w:val="none"/>
        </w:rPr>
        <w:t>1.</w:t>
      </w:r>
      <w:r>
        <w:rPr>
          <w:rFonts w:hint="default" w:ascii="Times New Roman" w:hAnsi="Times New Roman" w:cs="Times New Roman"/>
          <w:b/>
          <w:bCs/>
          <w:color w:val="auto"/>
          <w:highlight w:val="none"/>
          <w:lang w:eastAsia="zh-Hans"/>
        </w:rPr>
        <w:t>绩效评价目的</w:t>
      </w:r>
      <w:bookmarkEnd w:id="23"/>
      <w:bookmarkEnd w:id="24"/>
      <w:bookmarkEnd w:id="25"/>
      <w:bookmarkEnd w:id="26"/>
      <w:bookmarkEnd w:id="27"/>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财政支出绩效评价旨在通过评价改善部门的财政支出管理，优化资源配置及提高公共服务水平。结合绩效评价基本原理和项目特点，本次绩效评价的目的主要包括以下三个方面：</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（1）</w:t>
      </w:r>
      <w:r>
        <w:rPr>
          <w:rFonts w:hint="default" w:ascii="Times New Roman" w:hAnsi="Times New Roman" w:cs="Times New Roman"/>
          <w:color w:val="auto"/>
          <w:highlight w:val="none"/>
        </w:rPr>
        <w:t>围绕项目年度预算编制、预算执行、工作计划完成情况，对项目开展的经济性进行评价，总结预算管理中的经验，分析预算编制中存在的不足，并针对项目以后年度预算编制提供可行性参考建议。</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（2）</w:t>
      </w:r>
      <w:r>
        <w:rPr>
          <w:rFonts w:hint="default" w:ascii="Times New Roman" w:hAnsi="Times New Roman" w:cs="Times New Roman"/>
          <w:color w:val="auto"/>
          <w:highlight w:val="none"/>
        </w:rPr>
        <w:t>围绕项目管理、财务管理和采购管理的规范性、年度项目产出质量、年度工作完成及时性等方面，对项目开展的效率性进行评价，总结项目管理中的经验做法，从而为本项目以后年度项目管理优化提供参考建议。</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（3）</w:t>
      </w:r>
      <w:r>
        <w:rPr>
          <w:rFonts w:hint="default" w:ascii="Times New Roman" w:hAnsi="Times New Roman" w:cs="Times New Roman"/>
          <w:color w:val="auto"/>
          <w:highlight w:val="none"/>
        </w:rPr>
        <w:t>围绕年度项目效果及受益对象满意度调查结果，对项目开展的效益性进行评价。</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eastAsia="zh-Hans"/>
        </w:rPr>
      </w:pPr>
      <w:bookmarkStart w:id="28" w:name="_Toc18789"/>
      <w:bookmarkStart w:id="29" w:name="_Toc12045"/>
      <w:bookmarkStart w:id="30" w:name="_Toc7137"/>
      <w:bookmarkStart w:id="31" w:name="_Toc9966"/>
      <w:bookmarkStart w:id="32" w:name="_Toc19406"/>
      <w:r>
        <w:rPr>
          <w:rFonts w:hint="default" w:ascii="Times New Roman" w:hAnsi="Times New Roman" w:cs="Times New Roman"/>
          <w:b/>
          <w:bCs/>
          <w:color w:val="auto"/>
          <w:highlight w:val="none"/>
        </w:rPr>
        <w:t>2.</w:t>
      </w:r>
      <w:r>
        <w:rPr>
          <w:rFonts w:hint="default" w:ascii="Times New Roman" w:hAnsi="Times New Roman" w:cs="Times New Roman"/>
          <w:b/>
          <w:bCs/>
          <w:color w:val="auto"/>
          <w:highlight w:val="none"/>
          <w:lang w:eastAsia="zh-Hans"/>
        </w:rPr>
        <w:t>绩效评价对象与范围</w:t>
      </w:r>
      <w:bookmarkEnd w:id="28"/>
      <w:bookmarkEnd w:id="29"/>
      <w:bookmarkEnd w:id="30"/>
      <w:bookmarkEnd w:id="31"/>
      <w:bookmarkEnd w:id="32"/>
    </w:p>
    <w:p>
      <w:pPr>
        <w:pageBreakBefore w:val="0"/>
        <w:kinsoku/>
        <w:overflowPunct/>
        <w:topLinePunct w:val="0"/>
        <w:bidi w:val="0"/>
        <w:spacing w:line="560" w:lineRule="exact"/>
        <w:rPr>
          <w:rFonts w:hint="default" w:ascii="Times New Roman" w:hAnsi="Times New Roman" w:eastAsia="仿宋_GB2312" w:cs="Times New Roman"/>
          <w:color w:val="auto"/>
          <w:highlight w:val="none"/>
          <w:lang w:val="en-US" w:eastAsia="zh-CN"/>
        </w:rPr>
      </w:pPr>
      <w:r>
        <w:rPr>
          <w:rFonts w:hint="default" w:ascii="Times New Roman" w:hAnsi="Times New Roman" w:cs="Times New Roman"/>
          <w:color w:val="auto"/>
          <w:highlight w:val="none"/>
          <w:lang w:eastAsia="zh-Hans"/>
        </w:rPr>
        <w:t>本次绩效评价的对象为</w:t>
      </w:r>
      <w:r>
        <w:rPr>
          <w:rFonts w:hint="default" w:ascii="Times New Roman" w:hAnsi="Times New Roman" w:cs="Times New Roman"/>
          <w:color w:val="auto"/>
          <w:highlight w:val="none"/>
          <w:lang w:val="en-US" w:eastAsia="zh-CN"/>
        </w:rPr>
        <w:t>海南省交通运输厅2023年高速公路建设偿债</w:t>
      </w:r>
      <w:r>
        <w:rPr>
          <w:rFonts w:hint="default" w:ascii="Times New Roman" w:hAnsi="Times New Roman" w:cs="Times New Roman"/>
          <w:color w:val="auto"/>
          <w:highlight w:val="none"/>
          <w:lang w:eastAsia="zh-CN"/>
        </w:rPr>
        <w:t>项目，</w:t>
      </w:r>
      <w:r>
        <w:rPr>
          <w:rFonts w:hint="default" w:ascii="Times New Roman" w:hAnsi="Times New Roman" w:cs="Times New Roman"/>
          <w:color w:val="auto"/>
          <w:highlight w:val="none"/>
          <w:lang w:val="en-US" w:eastAsia="zh-CN"/>
        </w:rPr>
        <w:t>项目预算为48</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929</w:t>
      </w:r>
      <w:r>
        <w:rPr>
          <w:rFonts w:hint="default" w:ascii="Times New Roman" w:hAnsi="Times New Roman" w:cs="Times New Roman"/>
          <w:color w:val="auto"/>
          <w:highlight w:val="none"/>
          <w:lang w:val="en" w:eastAsia="zh-CN"/>
        </w:rPr>
        <w:t>.00</w:t>
      </w:r>
      <w:r>
        <w:rPr>
          <w:rFonts w:hint="default" w:ascii="Times New Roman" w:hAnsi="Times New Roman" w:cs="Times New Roman"/>
          <w:color w:val="auto"/>
          <w:highlight w:val="none"/>
          <w:lang w:val="en-US" w:eastAsia="zh-CN"/>
        </w:rPr>
        <w:t>万元。</w:t>
      </w:r>
    </w:p>
    <w:p>
      <w:pPr>
        <w:pStyle w:val="7"/>
        <w:pageBreakBefore w:val="0"/>
        <w:kinsoku/>
        <w:overflowPunct/>
        <w:topLinePunct w:val="0"/>
        <w:bidi w:val="0"/>
        <w:spacing w:line="560" w:lineRule="exact"/>
        <w:outlineLvl w:val="1"/>
        <w:rPr>
          <w:rFonts w:hint="default" w:ascii="Times New Roman" w:hAnsi="Times New Roman" w:eastAsia="楷体_GB2312" w:cs="Times New Roman"/>
          <w:color w:val="auto"/>
          <w:highlight w:val="none"/>
        </w:rPr>
      </w:pPr>
      <w:bookmarkStart w:id="33" w:name="_Toc29290"/>
      <w:bookmarkStart w:id="34" w:name="_Toc7350"/>
      <w:r>
        <w:rPr>
          <w:rFonts w:hint="default" w:ascii="Times New Roman" w:hAnsi="Times New Roman" w:eastAsia="楷体_GB2312" w:cs="Times New Roman"/>
          <w:color w:val="auto"/>
          <w:highlight w:val="none"/>
        </w:rPr>
        <w:t>（二）绩效评价原则、评价指标体系、评价方法、评价标准</w:t>
      </w:r>
      <w:bookmarkEnd w:id="33"/>
      <w:bookmarkEnd w:id="34"/>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rPr>
      </w:pPr>
      <w:bookmarkStart w:id="35" w:name="_Toc27098"/>
      <w:bookmarkStart w:id="36" w:name="_Toc28353"/>
      <w:bookmarkStart w:id="37" w:name="_Toc19633"/>
      <w:bookmarkStart w:id="38" w:name="_Toc26501"/>
      <w:bookmarkStart w:id="39" w:name="_Toc15447"/>
      <w:r>
        <w:rPr>
          <w:rFonts w:hint="default" w:ascii="Times New Roman" w:hAnsi="Times New Roman" w:cs="Times New Roman"/>
          <w:b/>
          <w:bCs/>
          <w:color w:val="auto"/>
          <w:highlight w:val="none"/>
        </w:rPr>
        <w:t>1.</w:t>
      </w:r>
      <w:bookmarkStart w:id="40" w:name="_Toc2331"/>
      <w:bookmarkStart w:id="41" w:name="_Toc54107604"/>
      <w:r>
        <w:rPr>
          <w:rFonts w:hint="default" w:ascii="Times New Roman" w:hAnsi="Times New Roman" w:cs="Times New Roman"/>
          <w:b/>
          <w:bCs/>
          <w:color w:val="auto"/>
          <w:highlight w:val="none"/>
        </w:rPr>
        <w:t>绩效评价原则</w:t>
      </w:r>
      <w:bookmarkEnd w:id="35"/>
      <w:bookmarkEnd w:id="36"/>
      <w:bookmarkEnd w:id="37"/>
      <w:bookmarkEnd w:id="38"/>
      <w:bookmarkEnd w:id="39"/>
      <w:bookmarkEnd w:id="40"/>
      <w:bookmarkEnd w:id="41"/>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本次</w:t>
      </w:r>
      <w:r>
        <w:rPr>
          <w:rFonts w:hint="default" w:ascii="Times New Roman" w:hAnsi="Times New Roman" w:cs="Times New Roman"/>
          <w:color w:val="auto"/>
          <w:highlight w:val="none"/>
        </w:rPr>
        <w:t>绩效评价遵循以下基本原则：</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（1）</w:t>
      </w:r>
      <w:r>
        <w:rPr>
          <w:rFonts w:hint="default" w:ascii="Times New Roman" w:hAnsi="Times New Roman" w:cs="Times New Roman"/>
          <w:color w:val="auto"/>
          <w:highlight w:val="none"/>
        </w:rPr>
        <w:t>科学公正。绩效评价应当运用科学合理的方法，按照规范的程序，对项目绩效进行客观、公正的反映。</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（2）公开透明。绩效评价结果依法依规公开，自觉接受社会监督。</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（3）</w:t>
      </w:r>
      <w:r>
        <w:rPr>
          <w:rFonts w:hint="default" w:ascii="Times New Roman" w:hAnsi="Times New Roman" w:cs="Times New Roman"/>
          <w:color w:val="auto"/>
          <w:highlight w:val="none"/>
        </w:rPr>
        <w:t>激励约束。绩效评价结果与预算安排、政策调整、改进管理实质性挂钩，体现奖优罚劣和激励相容导向，有效要安排、低效要压减、无效要问责。</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绩效评价指标是指衡量绩效目标实现程度的考核工具。在确定</w:t>
      </w:r>
      <w:r>
        <w:rPr>
          <w:rFonts w:hint="default" w:ascii="Times New Roman" w:hAnsi="Times New Roman" w:cs="Times New Roman"/>
          <w:color w:val="auto"/>
          <w:highlight w:val="none"/>
        </w:rPr>
        <w:t>绩效评价指标</w:t>
      </w:r>
      <w:r>
        <w:rPr>
          <w:rFonts w:hint="default" w:ascii="Times New Roman" w:hAnsi="Times New Roman" w:cs="Times New Roman"/>
          <w:color w:val="auto"/>
          <w:highlight w:val="none"/>
          <w:lang w:eastAsia="zh-Hans"/>
        </w:rPr>
        <w:t>时，</w:t>
      </w:r>
      <w:r>
        <w:rPr>
          <w:rFonts w:hint="default" w:ascii="Times New Roman" w:hAnsi="Times New Roman" w:cs="Times New Roman"/>
          <w:color w:val="auto"/>
          <w:highlight w:val="none"/>
        </w:rPr>
        <w:t>遵循以下原则：</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eastAsia="zh-Hans"/>
        </w:rPr>
      </w:pPr>
      <w:bookmarkStart w:id="42" w:name="_Toc14819"/>
      <w:bookmarkStart w:id="43" w:name="_Toc23489"/>
      <w:bookmarkStart w:id="44" w:name="_Toc17855"/>
      <w:bookmarkStart w:id="45" w:name="_Toc13751"/>
      <w:bookmarkStart w:id="46" w:name="_Toc25969"/>
      <w:r>
        <w:rPr>
          <w:rFonts w:hint="default" w:ascii="Times New Roman" w:hAnsi="Times New Roman" w:cs="Times New Roman"/>
          <w:b/>
          <w:bCs/>
          <w:color w:val="auto"/>
          <w:highlight w:val="none"/>
          <w:lang w:eastAsia="zh-Hans"/>
        </w:rPr>
        <w:t>2.绩效评价方法</w:t>
      </w:r>
      <w:bookmarkEnd w:id="42"/>
      <w:bookmarkEnd w:id="43"/>
      <w:bookmarkEnd w:id="44"/>
      <w:bookmarkEnd w:id="45"/>
      <w:bookmarkEnd w:id="46"/>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本次评价将综合运用比较分析法、因素分析法、成本收益分析法、逻辑分析法等多种方法从多个角度进行分析。</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（一）成本效益分析法。是指将投入与产出、效益进行关联性分析的方法。 </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（二）比较法。是指将实施情况与绩效目标、历史情况、不同部门和地区同类支出情况进行比较的方法。</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（三）因素分析法。是指综合分析影响绩效目标实现、实施效果的内外部因素的方法。</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（四）最低成本法。是指在绩效目标确定的前提下，成本最小者为优的方法。</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（五）公众评判法。是指通过专家评估、公众问卷及抽样调查等方式进行评判的方法。</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（六）标杆管理法。是指以国内外同行业中较高的绩效水平为标杆进行评判的方法。</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（七）其他评价方法。</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eastAsia="zh-Hans"/>
        </w:rPr>
      </w:pPr>
      <w:bookmarkStart w:id="47" w:name="_Toc19431"/>
      <w:bookmarkStart w:id="48" w:name="_Toc7612"/>
      <w:bookmarkStart w:id="49" w:name="_Toc4537"/>
      <w:bookmarkStart w:id="50" w:name="_Toc24945"/>
      <w:bookmarkStart w:id="51" w:name="_Toc18616"/>
      <w:r>
        <w:rPr>
          <w:rFonts w:hint="default" w:ascii="Times New Roman" w:hAnsi="Times New Roman" w:cs="Times New Roman"/>
          <w:b/>
          <w:bCs/>
          <w:color w:val="auto"/>
          <w:highlight w:val="none"/>
        </w:rPr>
        <w:t>3.</w:t>
      </w:r>
      <w:r>
        <w:rPr>
          <w:rFonts w:hint="default" w:ascii="Times New Roman" w:hAnsi="Times New Roman" w:cs="Times New Roman"/>
          <w:b/>
          <w:bCs/>
          <w:color w:val="auto"/>
          <w:highlight w:val="none"/>
          <w:lang w:eastAsia="zh-Hans"/>
        </w:rPr>
        <w:t>绩效评价标准</w:t>
      </w:r>
      <w:bookmarkEnd w:id="47"/>
      <w:bookmarkEnd w:id="48"/>
      <w:bookmarkEnd w:id="49"/>
      <w:bookmarkEnd w:id="50"/>
      <w:bookmarkEnd w:id="51"/>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绩效评价标准包括计划标准、行业标准、历史标准等，用于对绩效指标完成情况进行比较。</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（4）财政部门和预算部门确认或认可的其他标准。</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eastAsia="zh-Hans"/>
        </w:rPr>
      </w:pPr>
      <w:bookmarkStart w:id="52" w:name="_Toc26128"/>
      <w:bookmarkStart w:id="53" w:name="_Toc20836"/>
      <w:bookmarkStart w:id="54" w:name="_Toc29334"/>
      <w:bookmarkStart w:id="55" w:name="_Toc28363"/>
      <w:bookmarkStart w:id="56" w:name="_Toc23877"/>
      <w:r>
        <w:rPr>
          <w:rFonts w:hint="default" w:ascii="Times New Roman" w:hAnsi="Times New Roman" w:cs="Times New Roman"/>
          <w:b/>
          <w:bCs/>
          <w:color w:val="auto"/>
          <w:highlight w:val="none"/>
          <w:lang w:val="en-US" w:eastAsia="zh-CN"/>
        </w:rPr>
        <w:t>4</w:t>
      </w:r>
      <w:r>
        <w:rPr>
          <w:rFonts w:hint="default" w:ascii="Times New Roman" w:hAnsi="Times New Roman" w:cs="Times New Roman"/>
          <w:b/>
          <w:bCs/>
          <w:color w:val="auto"/>
          <w:highlight w:val="none"/>
          <w:lang w:eastAsia="zh-Hans"/>
        </w:rPr>
        <w:t>.评价指标体系</w:t>
      </w:r>
      <w:bookmarkEnd w:id="52"/>
      <w:bookmarkEnd w:id="53"/>
      <w:bookmarkEnd w:id="54"/>
      <w:bookmarkEnd w:id="55"/>
      <w:bookmarkEnd w:id="56"/>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根据绩效评价的基本原理、原则和项目特点，结合绩效目标，由评价组按照逻辑分析法</w:t>
      </w:r>
      <w:r>
        <w:rPr>
          <w:rFonts w:hint="default" w:ascii="Times New Roman" w:hAnsi="Times New Roman" w:cs="Times New Roman"/>
          <w:color w:val="auto"/>
          <w:highlight w:val="none"/>
          <w:lang w:eastAsia="zh-Hans"/>
        </w:rPr>
        <w:t>设计绩效评价指标体系，从</w:t>
      </w:r>
      <w:r>
        <w:rPr>
          <w:rFonts w:hint="default" w:ascii="Times New Roman" w:hAnsi="Times New Roman" w:cs="Times New Roman"/>
          <w:color w:val="auto"/>
          <w:highlight w:val="none"/>
        </w:rPr>
        <w:t>项目决策、项目管理、项目</w:t>
      </w:r>
      <w:r>
        <w:rPr>
          <w:rFonts w:hint="default" w:ascii="Times New Roman" w:hAnsi="Times New Roman" w:cs="Times New Roman"/>
          <w:color w:val="auto"/>
          <w:highlight w:val="none"/>
          <w:lang w:eastAsia="zh-Hans"/>
        </w:rPr>
        <w:t>产出、项目效果等四</w:t>
      </w:r>
      <w:r>
        <w:rPr>
          <w:rFonts w:hint="default" w:ascii="Times New Roman" w:hAnsi="Times New Roman" w:cs="Times New Roman"/>
          <w:color w:val="auto"/>
          <w:highlight w:val="none"/>
        </w:rPr>
        <w:t>部分内容，围绕项目立项、目标设定、资金预算、资金使用、资源配置、项目管理、项目产出、项目效益的绩效逻辑路径</w:t>
      </w:r>
      <w:r>
        <w:rPr>
          <w:rFonts w:hint="default" w:ascii="Times New Roman" w:hAnsi="Times New Roman" w:cs="Times New Roman"/>
          <w:color w:val="auto"/>
          <w:highlight w:val="none"/>
          <w:lang w:eastAsia="zh-Hans"/>
        </w:rPr>
        <w:t>展开评价</w:t>
      </w:r>
      <w:r>
        <w:rPr>
          <w:rFonts w:hint="default" w:ascii="Times New Roman" w:hAnsi="Times New Roman" w:cs="Times New Roman"/>
          <w:color w:val="auto"/>
          <w:highlight w:val="none"/>
        </w:rPr>
        <w:t>，保证评价的科学性、严谨性和可行性。</w:t>
      </w:r>
    </w:p>
    <w:p>
      <w:pPr>
        <w:pageBreakBefore w:val="0"/>
        <w:kinsoku/>
        <w:overflowPunct/>
        <w:topLinePunct w:val="0"/>
        <w:bidi w:val="0"/>
        <w:spacing w:line="560" w:lineRule="exact"/>
        <w:rPr>
          <w:rFonts w:hint="default" w:ascii="Times New Roman" w:hAnsi="Times New Roman" w:cs="Times New Roman"/>
          <w:color w:val="auto"/>
          <w:highlight w:val="none"/>
          <w:lang w:eastAsia="zh-Hans"/>
        </w:rPr>
        <w:sectPr>
          <w:headerReference r:id="rId13" w:type="default"/>
          <w:footerReference r:id="rId14" w:type="default"/>
          <w:pgSz w:w="11906" w:h="16838"/>
          <w:pgMar w:top="1417" w:right="1417" w:bottom="1417" w:left="1984"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pPr>
      <w:r>
        <w:rPr>
          <w:rFonts w:hint="default" w:ascii="Times New Roman" w:hAnsi="Times New Roman" w:cs="Times New Roman"/>
          <w:color w:val="auto"/>
          <w:highlight w:val="none"/>
          <w:lang w:eastAsia="zh-Hans"/>
        </w:rPr>
        <w:t>评价指标体系如下：</w:t>
      </w:r>
    </w:p>
    <w:p>
      <w:pPr>
        <w:pStyle w:val="16"/>
        <w:pageBreakBefore w:val="0"/>
        <w:kinsoku/>
        <w:overflowPunct/>
        <w:topLinePunct w:val="0"/>
        <w:bidi w:val="0"/>
        <w:spacing w:line="560" w:lineRule="exact"/>
        <w:ind w:left="0" w:leftChars="0" w:firstLine="0" w:firstLineChars="0"/>
        <w:jc w:val="center"/>
        <w:rPr>
          <w:rFonts w:hint="default" w:ascii="Times New Roman" w:hAnsi="Times New Roman" w:cs="Times New Roman"/>
          <w:color w:val="auto"/>
          <w:highlight w:val="none"/>
          <w:lang w:eastAsia="zh-Hans"/>
        </w:rPr>
      </w:pPr>
      <w:r>
        <w:rPr>
          <w:rFonts w:hint="default" w:ascii="Times New Roman" w:hAnsi="Times New Roman" w:cs="Times New Roman"/>
          <w:b/>
          <w:bCs/>
          <w:color w:val="auto"/>
          <w:highlight w:val="none"/>
          <w:lang w:eastAsia="zh-Hans"/>
        </w:rPr>
        <w:t>绩效评价指标体系表</w:t>
      </w:r>
    </w:p>
    <w:tbl>
      <w:tblPr>
        <w:tblStyle w:val="1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1006"/>
        <w:gridCol w:w="1220"/>
        <w:gridCol w:w="1046"/>
        <w:gridCol w:w="793"/>
        <w:gridCol w:w="2431"/>
        <w:gridCol w:w="4610"/>
        <w:gridCol w:w="23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2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目标值</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权重</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指标解释</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评价要点</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评分规则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决策（16分）　</w:t>
            </w: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项目立项（4分）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立项依据充分性</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充分</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项目立项是否符合法律法规、相关政策、发展规划以及部门职责，用以反映和考核项目立项依据情况。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满足一项得20%权重分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立项程序规范性</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规范</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项目申请、设立过程是否符合相关要求，用以反映和考核项目立项的规范情况。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评价要点：①项目是否按照规定的程序申请设立；②审批文件、材料是否符合相关要求；③事前是否已经过必要的可行性研究、专家论证、风险评估、绩效评估、集体决策。</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满足一项得1/3权重分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绩效目标（4分）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绩效目标合理性</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合理</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项目所设定的绩效目标是否依据充分，是否符合客观实际，用以反映和考核项目绩效目标与项目实施的相符情况。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绩效指标明确性</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明确</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依据绩效目标设定的绩效指标是否清晰、细化、可衡量等，用以反映和考核项目绩效目标的明细化情况。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评价要点：①是否将项目绩效目标细化分解为具体的绩效指标；②是否通过清晰、可衡量的指标值予以体现；③是否与项目目标任务数或计划数相对应。</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满足一项得1/3权重分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资金投入（8分）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预算编制科学性</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科学</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项目预算编制是否经过科学论证、有明确标准，资金额度与年度目标是否相适应，用以反映和考核项目预算编制的科学性、合理性情况。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评价要点：①预算编制是否经过科学论证；②预算内容与项目内容是否匹配；③预算额度测算依据是否充分，是否按照标准编制；④预算确定的项目投资额或资金量是否与工作任务相匹配。</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资金分配合理性</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合理</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项目预算资金分配是否有测算依据，与补助单位或地方实际是否相适应，用以反映和考核项目预算资金分配的科学性、合理性情况。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评价要点：①预算资金分配依据是否充分；②资金分配额度是否合理，与项目单位或地方实际是否相适应。</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满足一项得50%权重分。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过程（24分）</w:t>
            </w: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资金管理（14分）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资金到位率</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实际到位资金与预算资金的比率，用以反映和考核资金落实情况对项目实施的总体保障程度。</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资金到位率=（实际到位资金/预算资金）×100%。</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实际到位资金：一定时期（本年度或项目期）内落实到具体项目的资金。</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预算资金：一定时期（本年度或项目期）内预算安排到具体项目的资金。</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100%得满分权重分，每下降1%扣1%权重分，直至零分。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预算执行率</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项目预算资金是否按照计划执行，用以反映或考核项目预算执行情况。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预算执行率=（实际支出资金/实际到位资金）×100%。</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实际支出资金：一定时期（本年度或项目期）内项目实际拨付的资金。</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100%得满分权重分，每下降1%扣1%权重分，直至零分。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资金使用合规性</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合规</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项目资金使用是否符合相关的财务管理制度规定，用以反映和考核项目资金的规范运行情况。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条件④不满足，本指标不得分；条件④满足，其余三项每满足1项得1/3权重分。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组织实施（10分）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管理制度健全性</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健全</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项目实施单位的财务和业务管理制度是否健全，用以反映和考核财务和业务管理制度对项目顺利实施的保障情况。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评价要点：①是否已制定或具有相应的财务和业务管理制度；②财务和业务管理制度是否合法、合规、完整。</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满足一项得50%权重分。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制度执行有效性</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有效</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项目实施是否符合相关管理规定，用以反映和考核相关管理制度的有效执行情况。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遵守相关法律法规和相关管理规定；②项目调整及支出调整手续是否完备；③项目合同书、验收报告、技术鉴定等资料是否齐全并及时归档；④项目实施的人员条件、场地设备、信息支撑等是否落实到位。</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w:t>
            </w:r>
            <w:r>
              <w:rPr>
                <w:rFonts w:hint="default" w:ascii="Times New Roman" w:hAnsi="Times New Roman" w:cs="Times New Roman"/>
                <w:i w:val="0"/>
                <w:iCs w:val="0"/>
                <w:color w:val="000000"/>
                <w:kern w:val="0"/>
                <w:sz w:val="24"/>
                <w:szCs w:val="24"/>
                <w:highlight w:val="none"/>
                <w:u w:val="none"/>
                <w:lang w:val="en-US" w:eastAsia="zh-CN" w:bidi="ar"/>
              </w:rPr>
              <w:t>4</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产出数量（</w:t>
            </w:r>
            <w:r>
              <w:rPr>
                <w:rFonts w:hint="default" w:ascii="Times New Roman" w:hAnsi="Times New Roman"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还本付息完成率</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≥95</w:t>
            </w:r>
            <w:r>
              <w:rPr>
                <w:rFonts w:hint="default" w:ascii="Times New Roman" w:hAnsi="Times New Roman" w:eastAsia="仿宋_GB2312" w:cs="Times New Roman"/>
                <w:i w:val="0"/>
                <w:iCs w:val="0"/>
                <w:color w:val="000000"/>
                <w:kern w:val="0"/>
                <w:sz w:val="24"/>
                <w:szCs w:val="24"/>
                <w:highlight w:val="none"/>
                <w:u w:val="none"/>
                <w:lang w:val="en-US" w:eastAsia="zh-CN" w:bidi="ar"/>
              </w:rPr>
              <w:t>%</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cs="Times New Roman"/>
                <w:i w:val="0"/>
                <w:iCs w:val="0"/>
                <w:color w:val="000000"/>
                <w:sz w:val="24"/>
                <w:szCs w:val="24"/>
                <w:highlight w:val="none"/>
                <w:u w:val="none"/>
                <w:lang w:val="en-US" w:eastAsia="zh-CN"/>
              </w:rPr>
              <w:t>20</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考察还本付息完成率。</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业绩值=还本付息完成数量/还本付息总数*100%。</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≥95</w:t>
            </w:r>
            <w:r>
              <w:rPr>
                <w:rFonts w:hint="default" w:ascii="Times New Roman" w:hAnsi="Times New Roman" w:eastAsia="仿宋_GB2312" w:cs="Times New Roman"/>
                <w:i w:val="0"/>
                <w:iCs w:val="0"/>
                <w:color w:val="000000"/>
                <w:kern w:val="0"/>
                <w:sz w:val="24"/>
                <w:szCs w:val="24"/>
                <w:highlight w:val="none"/>
                <w:u w:val="none"/>
                <w:lang w:val="en-US" w:eastAsia="zh-CN" w:bidi="ar"/>
              </w:rPr>
              <w:t>%得满分权重分，每下降1%扣1%权重分，直至零分。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产出时效（</w:t>
            </w:r>
            <w:r>
              <w:rPr>
                <w:rFonts w:hint="default" w:ascii="Times New Roman" w:hAnsi="Times New Roman"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分）</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按期偿债及时率</w:t>
            </w:r>
            <w:r>
              <w:rPr>
                <w:rFonts w:hint="default" w:ascii="Times New Roman" w:hAnsi="Times New Roman" w:eastAsia="仿宋_GB2312" w:cs="Times New Roman"/>
                <w:i w:val="0"/>
                <w:iCs w:val="0"/>
                <w:color w:val="000000"/>
                <w:kern w:val="0"/>
                <w:sz w:val="24"/>
                <w:szCs w:val="24"/>
                <w:highlight w:val="none"/>
                <w:u w:val="none"/>
                <w:lang w:val="en-US" w:eastAsia="zh-CN" w:bidi="ar"/>
              </w:rPr>
              <w:t>时率</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≥90</w:t>
            </w:r>
            <w:r>
              <w:rPr>
                <w:rFonts w:hint="default" w:ascii="Times New Roman" w:hAnsi="Times New Roman" w:eastAsia="仿宋_GB2312" w:cs="Times New Roman"/>
                <w:i w:val="0"/>
                <w:iCs w:val="0"/>
                <w:color w:val="000000"/>
                <w:kern w:val="0"/>
                <w:sz w:val="24"/>
                <w:szCs w:val="24"/>
                <w:highlight w:val="none"/>
                <w:u w:val="none"/>
                <w:lang w:val="en-US" w:eastAsia="zh-CN" w:bidi="ar"/>
              </w:rPr>
              <w:t>%</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cs="Times New Roman"/>
                <w:i w:val="0"/>
                <w:iCs w:val="0"/>
                <w:color w:val="000000"/>
                <w:sz w:val="24"/>
                <w:szCs w:val="24"/>
                <w:highlight w:val="none"/>
                <w:u w:val="none"/>
                <w:lang w:val="en-US" w:eastAsia="zh-CN"/>
              </w:rPr>
              <w:t>20</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考察是否按计划及时还款。</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业绩值=实际还款日期/应还款日期*100%。</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≥90</w:t>
            </w:r>
            <w:r>
              <w:rPr>
                <w:rFonts w:hint="default" w:ascii="Times New Roman" w:hAnsi="Times New Roman" w:eastAsia="仿宋_GB2312" w:cs="Times New Roman"/>
                <w:i w:val="0"/>
                <w:iCs w:val="0"/>
                <w:color w:val="000000"/>
                <w:kern w:val="0"/>
                <w:sz w:val="24"/>
                <w:szCs w:val="24"/>
                <w:highlight w:val="none"/>
                <w:u w:val="none"/>
                <w:lang w:val="en-US" w:eastAsia="zh-CN" w:bidi="ar"/>
              </w:rPr>
              <w:t>%得满分权重分，每下降1%扣1%权重分，直至零分。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268" w:type="pc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效益（</w:t>
            </w:r>
            <w:r>
              <w:rPr>
                <w:rFonts w:hint="default" w:ascii="Times New Roman" w:hAnsi="Times New Roman"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分）</w:t>
            </w:r>
          </w:p>
        </w:tc>
        <w:tc>
          <w:tcPr>
            <w:tcW w:w="354" w:type="pct"/>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社会效益（</w:t>
            </w:r>
            <w:r>
              <w:rPr>
                <w:rFonts w:hint="default" w:ascii="Times New Roman" w:hAnsi="Times New Roman"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分）</w:t>
            </w:r>
          </w:p>
        </w:tc>
        <w:tc>
          <w:tcPr>
            <w:tcW w:w="429"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负债</w:t>
            </w:r>
            <w:r>
              <w:rPr>
                <w:rFonts w:hint="default" w:ascii="Times New Roman" w:hAnsi="Times New Roman" w:cs="Times New Roman"/>
                <w:i w:val="0"/>
                <w:iCs w:val="0"/>
                <w:color w:val="000000"/>
                <w:kern w:val="0"/>
                <w:sz w:val="24"/>
                <w:szCs w:val="24"/>
                <w:highlight w:val="none"/>
                <w:u w:val="none"/>
                <w:lang w:val="en-US" w:eastAsia="zh-CN" w:bidi="ar"/>
              </w:rPr>
              <w:t>本金减少额</w:t>
            </w:r>
          </w:p>
        </w:tc>
        <w:tc>
          <w:tcPr>
            <w:tcW w:w="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cs="Times New Roman"/>
                <w:i w:val="0"/>
                <w:iCs w:val="0"/>
                <w:color w:val="000000"/>
                <w:kern w:val="0"/>
                <w:sz w:val="24"/>
                <w:szCs w:val="24"/>
                <w:highlight w:val="none"/>
                <w:u w:val="none"/>
                <w:lang w:val="en-US" w:eastAsia="zh-CN" w:bidi="ar"/>
              </w:rPr>
              <w:t>≥30000万元</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cs="Times New Roman"/>
                <w:i w:val="0"/>
                <w:iCs w:val="0"/>
                <w:color w:val="000000"/>
                <w:kern w:val="0"/>
                <w:sz w:val="24"/>
                <w:szCs w:val="24"/>
                <w:highlight w:val="none"/>
                <w:u w:val="none"/>
                <w:lang w:val="en-US" w:eastAsia="zh-CN" w:bidi="ar"/>
              </w:rPr>
              <w:t>20</w:t>
            </w:r>
          </w:p>
        </w:tc>
        <w:tc>
          <w:tcPr>
            <w:tcW w:w="8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考察项目实施后负债减少情况。</w:t>
            </w:r>
          </w:p>
        </w:tc>
        <w:tc>
          <w:tcPr>
            <w:tcW w:w="16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项目实施降低了交通运输厅负债余额。</w:t>
            </w: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达到目标值得满分，否则不得分。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41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100</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16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8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r>
    </w:tbl>
    <w:p>
      <w:pPr>
        <w:pStyle w:val="16"/>
        <w:pageBreakBefore w:val="0"/>
        <w:kinsoku/>
        <w:overflowPunct/>
        <w:topLinePunct w:val="0"/>
        <w:bidi w:val="0"/>
        <w:spacing w:line="560" w:lineRule="exact"/>
        <w:ind w:left="640" w:firstLine="640"/>
        <w:rPr>
          <w:rFonts w:hint="default" w:ascii="Times New Roman" w:hAnsi="Times New Roman" w:cs="Times New Roman"/>
          <w:color w:val="auto"/>
          <w:highlight w:val="none"/>
          <w:lang w:eastAsia="zh-Hans"/>
        </w:rPr>
        <w:sectPr>
          <w:pgSz w:w="16838" w:h="11906" w:orient="landscape"/>
          <w:pgMar w:top="2835"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p>
    <w:p>
      <w:pPr>
        <w:pStyle w:val="7"/>
        <w:pageBreakBefore w:val="0"/>
        <w:numPr>
          <w:ilvl w:val="0"/>
          <w:numId w:val="2"/>
        </w:numPr>
        <w:kinsoku/>
        <w:overflowPunct/>
        <w:topLinePunct w:val="0"/>
        <w:bidi w:val="0"/>
        <w:spacing w:line="560" w:lineRule="exact"/>
        <w:outlineLvl w:val="1"/>
        <w:rPr>
          <w:rFonts w:hint="default" w:ascii="Times New Roman" w:hAnsi="Times New Roman" w:eastAsia="楷体_GB2312" w:cs="Times New Roman"/>
          <w:color w:val="auto"/>
          <w:highlight w:val="none"/>
        </w:rPr>
      </w:pPr>
      <w:bookmarkStart w:id="57" w:name="_Toc19460"/>
      <w:r>
        <w:rPr>
          <w:rFonts w:hint="default" w:ascii="Times New Roman" w:hAnsi="Times New Roman" w:eastAsia="楷体_GB2312" w:cs="Times New Roman"/>
          <w:color w:val="auto"/>
          <w:highlight w:val="none"/>
        </w:rPr>
        <w:t>绩效评价工作过程</w:t>
      </w:r>
      <w:bookmarkEnd w:id="57"/>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rPr>
      </w:pPr>
      <w:bookmarkStart w:id="58" w:name="_Toc10661"/>
      <w:bookmarkStart w:id="59" w:name="_Toc16846"/>
      <w:bookmarkStart w:id="60" w:name="_Toc3901"/>
      <w:bookmarkStart w:id="61" w:name="_Toc15253"/>
      <w:bookmarkStart w:id="62" w:name="_Toc9354"/>
      <w:r>
        <w:rPr>
          <w:rFonts w:hint="default" w:ascii="Times New Roman" w:hAnsi="Times New Roman" w:cs="Times New Roman"/>
          <w:b/>
          <w:bCs/>
          <w:color w:val="auto"/>
          <w:highlight w:val="none"/>
        </w:rPr>
        <w:t>1.前期准备阶段</w:t>
      </w:r>
      <w:bookmarkEnd w:id="58"/>
      <w:bookmarkEnd w:id="59"/>
      <w:bookmarkEnd w:id="60"/>
      <w:bookmarkEnd w:id="61"/>
      <w:bookmarkEnd w:id="62"/>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评价准备阶段的主要任务包括：</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（1）确定评价对象。绩效评价对象由财政部门和部门（单位）根据绩效评价工作重点及预算管理要求确定，第三方评价机构根据财政部门和部门（单位）要求对特定对象进行绩效评价。</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（2）明确评价目的。评价目的决定了绩效评价的基本方向，只有解决了为什么要进行评价，才能使各评价活动朝着既定的方向迈进。</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3）选择评价方法。评价方法一般包括以指标体系为核心的综合评价法、以绩效分析为主的逻辑分析法，综合评价法形成得分判断结论，逻辑分析法则形成定性判断结论。根据不同绩效评价的目的选择合适的评价方法。</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4）撰写评价方案。绩效评价方案的内容包括：①项目概况，包括立项背景及目的、立项依据、预算资金安排、计划实施内容、项目组织及管理、利益相关方、项目绩效目标等内容；②针对评价目的和依据、对象和范围等，明确评价思路；③提出绩效评价指标体系设计思路；④确定评价的具体方法；⑤设计社会调查方案；⑥明确评价时间，规定工作进度的有关计划；⑦其他内容。</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rPr>
      </w:pPr>
      <w:bookmarkStart w:id="63" w:name="_Toc18591"/>
      <w:bookmarkStart w:id="64" w:name="_Toc8640"/>
      <w:bookmarkStart w:id="65" w:name="_Toc16724"/>
      <w:bookmarkStart w:id="66" w:name="_Toc31776"/>
      <w:bookmarkStart w:id="67" w:name="_Toc16563"/>
      <w:r>
        <w:rPr>
          <w:rFonts w:hint="default" w:ascii="Times New Roman" w:hAnsi="Times New Roman" w:cs="Times New Roman"/>
          <w:b/>
          <w:bCs/>
          <w:color w:val="auto"/>
          <w:highlight w:val="none"/>
        </w:rPr>
        <w:t>2.组织实施阶段</w:t>
      </w:r>
      <w:bookmarkEnd w:id="63"/>
      <w:bookmarkEnd w:id="64"/>
      <w:bookmarkEnd w:id="65"/>
      <w:bookmarkEnd w:id="66"/>
      <w:bookmarkEnd w:id="67"/>
    </w:p>
    <w:p>
      <w:pPr>
        <w:pageBreakBefore w:val="0"/>
        <w:kinsoku/>
        <w:overflowPunct/>
        <w:topLinePunct w:val="0"/>
        <w:bidi w:val="0"/>
        <w:spacing w:line="560" w:lineRule="exact"/>
        <w:rPr>
          <w:rFonts w:hint="default" w:ascii="Times New Roman" w:hAnsi="Times New Roman" w:cs="Times New Roman"/>
          <w:color w:val="auto"/>
          <w:sz w:val="24"/>
          <w:highlight w:val="none"/>
          <w:lang w:bidi="ar"/>
        </w:rPr>
      </w:pPr>
      <w:r>
        <w:rPr>
          <w:rFonts w:hint="default" w:ascii="Times New Roman" w:hAnsi="Times New Roman" w:cs="Times New Roman"/>
          <w:color w:val="auto"/>
          <w:highlight w:val="none"/>
        </w:rPr>
        <w:t>评价组与项目相关负责人进行沟通和访谈</w:t>
      </w:r>
      <w:r>
        <w:rPr>
          <w:rFonts w:hint="default" w:ascii="Times New Roman" w:hAnsi="Times New Roman" w:cs="Times New Roman"/>
          <w:color w:val="auto"/>
          <w:highlight w:val="none"/>
          <w:lang w:eastAsia="zh-Hans"/>
        </w:rPr>
        <w:t>，</w:t>
      </w:r>
      <w:r>
        <w:rPr>
          <w:rFonts w:hint="default" w:ascii="Times New Roman" w:hAnsi="Times New Roman" w:cs="Times New Roman"/>
          <w:color w:val="auto"/>
          <w:highlight w:val="none"/>
        </w:rPr>
        <w:t>对项目的相关资料进行收集和整理。具体数据采集方法和过程如下：</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（1）</w:t>
      </w:r>
      <w:r>
        <w:rPr>
          <w:rFonts w:hint="default" w:ascii="Times New Roman" w:hAnsi="Times New Roman" w:cs="Times New Roman"/>
          <w:color w:val="auto"/>
          <w:highlight w:val="none"/>
        </w:rPr>
        <w:t>基础数据采集</w:t>
      </w:r>
      <w:r>
        <w:rPr>
          <w:rFonts w:hint="default" w:ascii="Times New Roman" w:hAnsi="Times New Roman" w:cs="Times New Roman"/>
          <w:color w:val="auto"/>
          <w:highlight w:val="none"/>
          <w:lang w:eastAsia="zh-Hans"/>
        </w:rPr>
        <w:t>。</w:t>
      </w:r>
      <w:r>
        <w:rPr>
          <w:rFonts w:hint="default" w:ascii="Times New Roman" w:hAnsi="Times New Roman" w:cs="Times New Roman"/>
          <w:color w:val="auto"/>
          <w:highlight w:val="none"/>
        </w:rPr>
        <w:t>在</w:t>
      </w:r>
      <w:r>
        <w:rPr>
          <w:rFonts w:hint="default" w:ascii="Times New Roman" w:hAnsi="Times New Roman" w:cs="Times New Roman"/>
          <w:color w:val="auto"/>
          <w:highlight w:val="none"/>
          <w:lang w:eastAsia="zh-Hans"/>
        </w:rPr>
        <w:t>财政部门、预算部门</w:t>
      </w:r>
      <w:r>
        <w:rPr>
          <w:rFonts w:hint="default" w:ascii="Times New Roman" w:hAnsi="Times New Roman" w:cs="Times New Roman"/>
          <w:color w:val="auto"/>
          <w:highlight w:val="none"/>
        </w:rPr>
        <w:t>的支持和配合下，评价组完成了基础数据的填报</w:t>
      </w:r>
      <w:r>
        <w:rPr>
          <w:rFonts w:hint="default" w:ascii="Times New Roman" w:hAnsi="Times New Roman" w:cs="Times New Roman"/>
          <w:color w:val="auto"/>
          <w:highlight w:val="none"/>
          <w:lang w:eastAsia="zh-Hans"/>
        </w:rPr>
        <w:t>、收集工作</w:t>
      </w:r>
      <w:r>
        <w:rPr>
          <w:rFonts w:hint="default" w:ascii="Times New Roman" w:hAnsi="Times New Roman" w:cs="Times New Roman"/>
          <w:color w:val="auto"/>
          <w:highlight w:val="none"/>
        </w:rPr>
        <w:t>。</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（2）</w:t>
      </w:r>
      <w:r>
        <w:rPr>
          <w:rFonts w:hint="default" w:ascii="Times New Roman" w:hAnsi="Times New Roman" w:cs="Times New Roman"/>
          <w:color w:val="auto"/>
          <w:highlight w:val="none"/>
        </w:rPr>
        <w:t>数据检查复核</w:t>
      </w:r>
      <w:r>
        <w:rPr>
          <w:rFonts w:hint="default" w:ascii="Times New Roman" w:hAnsi="Times New Roman" w:cs="Times New Roman"/>
          <w:color w:val="auto"/>
          <w:highlight w:val="none"/>
          <w:lang w:eastAsia="zh-Hans"/>
        </w:rPr>
        <w:t>。对项目</w:t>
      </w:r>
      <w:r>
        <w:rPr>
          <w:rFonts w:hint="default" w:ascii="Times New Roman" w:hAnsi="Times New Roman" w:cs="Times New Roman"/>
          <w:color w:val="auto"/>
          <w:highlight w:val="none"/>
        </w:rPr>
        <w:t>资金的实际使用情况进行了检查，并对项目相关文件、合同、支付凭证等进行了核对检查，以测算项目各环节的实际成本。</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（3）</w:t>
      </w:r>
      <w:r>
        <w:rPr>
          <w:rFonts w:hint="default" w:ascii="Times New Roman" w:hAnsi="Times New Roman" w:cs="Times New Roman"/>
          <w:color w:val="auto"/>
          <w:highlight w:val="none"/>
        </w:rPr>
        <w:t>访谈调研</w:t>
      </w:r>
      <w:r>
        <w:rPr>
          <w:rFonts w:hint="default" w:ascii="Times New Roman" w:hAnsi="Times New Roman" w:cs="Times New Roman"/>
          <w:color w:val="auto"/>
          <w:highlight w:val="none"/>
          <w:lang w:eastAsia="zh-Hans"/>
        </w:rPr>
        <w:t>。</w:t>
      </w:r>
      <w:r>
        <w:rPr>
          <w:rFonts w:hint="default" w:ascii="Times New Roman" w:hAnsi="Times New Roman" w:cs="Times New Roman"/>
          <w:color w:val="auto"/>
          <w:highlight w:val="none"/>
        </w:rPr>
        <w:t>评价组对项目相关负责人进行了访谈，针对项目管理情况、运营情况、资金投入及成本控制以及存在的问题及改进建议等问题进行了详细了解。</w:t>
      </w:r>
    </w:p>
    <w:p>
      <w:pPr>
        <w:keepNext w:val="0"/>
        <w:keepLines w:val="0"/>
        <w:pageBreakBefore w:val="0"/>
        <w:widowControl w:val="0"/>
        <w:suppressLineNumbers w:val="0"/>
        <w:kinsoku/>
        <w:overflowPunct/>
        <w:topLinePunct w:val="0"/>
        <w:bidi w:val="0"/>
        <w:spacing w:before="0" w:beforeAutospacing="0" w:after="0" w:afterAutospacing="0" w:line="560" w:lineRule="exact"/>
        <w:ind w:left="0" w:right="0" w:firstLine="640" w:firstLineChars="200"/>
        <w:jc w:val="both"/>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（4）</w:t>
      </w:r>
      <w:r>
        <w:rPr>
          <w:rFonts w:hint="default" w:ascii="Times New Roman" w:hAnsi="Times New Roman" w:cs="Times New Roman"/>
          <w:color w:val="auto"/>
          <w:highlight w:val="none"/>
        </w:rPr>
        <w:t>问卷调研</w:t>
      </w:r>
      <w:r>
        <w:rPr>
          <w:rFonts w:hint="default" w:ascii="Times New Roman" w:hAnsi="Times New Roman" w:cs="Times New Roman"/>
          <w:color w:val="auto"/>
          <w:highlight w:val="none"/>
          <w:lang w:eastAsia="zh-Hans"/>
        </w:rPr>
        <w:t>。</w:t>
      </w:r>
      <w:r>
        <w:rPr>
          <w:rFonts w:hint="default" w:ascii="Times New Roman" w:hAnsi="Times New Roman" w:cs="Times New Roman"/>
          <w:color w:val="auto"/>
          <w:highlight w:val="none"/>
        </w:rPr>
        <w:t>在</w:t>
      </w:r>
      <w:r>
        <w:rPr>
          <w:rFonts w:hint="default" w:ascii="Times New Roman" w:hAnsi="Times New Roman" w:cs="Times New Roman"/>
          <w:color w:val="auto"/>
          <w:highlight w:val="none"/>
          <w:lang w:eastAsia="zh-Hans"/>
        </w:rPr>
        <w:t>预算单位</w:t>
      </w:r>
      <w:r>
        <w:rPr>
          <w:rFonts w:hint="default" w:ascii="Times New Roman" w:hAnsi="Times New Roman" w:cs="Times New Roman"/>
          <w:color w:val="auto"/>
          <w:highlight w:val="none"/>
        </w:rPr>
        <w:t>的协调下，评价组通过随机抽样的方式对相关人员开展问卷调研。</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rPr>
      </w:pPr>
      <w:bookmarkStart w:id="68" w:name="_Toc54107606"/>
      <w:bookmarkStart w:id="69" w:name="_Toc11573"/>
      <w:bookmarkStart w:id="70" w:name="_Toc13378"/>
      <w:bookmarkStart w:id="71" w:name="_Toc21520"/>
      <w:bookmarkStart w:id="72" w:name="_Toc25238"/>
      <w:bookmarkStart w:id="73" w:name="_Toc16136"/>
      <w:bookmarkStart w:id="74" w:name="_Toc25597"/>
      <w:r>
        <w:rPr>
          <w:rFonts w:hint="default" w:ascii="Times New Roman" w:hAnsi="Times New Roman" w:cs="Times New Roman"/>
          <w:b/>
          <w:bCs/>
          <w:color w:val="auto"/>
          <w:highlight w:val="none"/>
        </w:rPr>
        <w:t>3.</w:t>
      </w:r>
      <w:bookmarkEnd w:id="68"/>
      <w:bookmarkEnd w:id="69"/>
      <w:r>
        <w:rPr>
          <w:rFonts w:hint="default" w:ascii="Times New Roman" w:hAnsi="Times New Roman" w:cs="Times New Roman"/>
          <w:b/>
          <w:bCs/>
          <w:color w:val="auto"/>
          <w:highlight w:val="none"/>
          <w:lang w:eastAsia="zh-Hans"/>
        </w:rPr>
        <w:t>评价分析阶段</w:t>
      </w:r>
      <w:bookmarkEnd w:id="70"/>
      <w:bookmarkEnd w:id="71"/>
      <w:bookmarkEnd w:id="72"/>
      <w:bookmarkEnd w:id="73"/>
      <w:bookmarkEnd w:id="74"/>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组根据绩效评价的原则和规范，对项目实地调研过程中获取的数据和信息进行归纳、总结和分析，结合绩效评价指标体系对项目进行评分，并在此基础上提炼结论撰写绩效评价报告，上报委托单位。具体实施过程如下：</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eastAsia="zh-Hans"/>
        </w:rPr>
        <w:t>（1）</w:t>
      </w:r>
      <w:r>
        <w:rPr>
          <w:rFonts w:hint="default" w:ascii="Times New Roman" w:hAnsi="Times New Roman" w:cs="Times New Roman"/>
          <w:b/>
          <w:bCs/>
          <w:color w:val="auto"/>
          <w:highlight w:val="none"/>
        </w:rPr>
        <w:t>基础数据整理和分析</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评价组根据</w:t>
      </w:r>
      <w:r>
        <w:rPr>
          <w:rFonts w:hint="default" w:ascii="Times New Roman" w:hAnsi="Times New Roman" w:cs="Times New Roman"/>
          <w:color w:val="auto"/>
          <w:highlight w:val="none"/>
          <w:lang w:eastAsia="zh-Hans"/>
        </w:rPr>
        <w:t>收集到的</w:t>
      </w:r>
      <w:r>
        <w:rPr>
          <w:rFonts w:hint="default" w:ascii="Times New Roman" w:hAnsi="Times New Roman" w:cs="Times New Roman"/>
          <w:color w:val="auto"/>
          <w:highlight w:val="none"/>
        </w:rPr>
        <w:t>基础数据，对项目资金安排执行情况、项目产出目标实现情况、政府采购执行情况等数据进行整理和分析。同时，对调研过程中获得的相关材料进行归纳和总结，用以辅助指标打分和绩效评价报告的撰写。</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eastAsia="zh-Hans"/>
        </w:rPr>
        <w:t>（2）</w:t>
      </w:r>
      <w:r>
        <w:rPr>
          <w:rFonts w:hint="default" w:ascii="Times New Roman" w:hAnsi="Times New Roman" w:cs="Times New Roman"/>
          <w:b/>
          <w:bCs/>
          <w:color w:val="auto"/>
          <w:highlight w:val="none"/>
        </w:rPr>
        <w:t>指标评分</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评价组根据收集和整理的基础数据，对比工作方案中制定的绩效评价指标体系，根据评分标准对各项指标进行打分，并制定综合评分表和评价底稿，对指标体系中的得分和扣分情况进行说明。</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eastAsia="zh-Hans"/>
        </w:rPr>
        <w:t>（3）</w:t>
      </w:r>
      <w:r>
        <w:rPr>
          <w:rFonts w:hint="default" w:ascii="Times New Roman" w:hAnsi="Times New Roman" w:cs="Times New Roman"/>
          <w:b/>
          <w:bCs/>
          <w:color w:val="auto"/>
          <w:highlight w:val="none"/>
        </w:rPr>
        <w:t>问卷分析</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评价组对回收的问卷进行整理，根据每道问题的信度与效度，判断抽样方案是否有效，以及所调研的问题是否能反映真实情况，对于信度与效度不达标的问题，评价组应当在保证工作安排不受影响的前提下，对特定问题进行重新抽样或采取其他合理的解决措施。</w:t>
      </w:r>
      <w:r>
        <w:rPr>
          <w:rFonts w:hint="default" w:ascii="Times New Roman" w:hAnsi="Times New Roman" w:cs="Times New Roman"/>
          <w:color w:val="auto"/>
          <w:highlight w:val="none"/>
          <w:lang w:eastAsia="zh-Hans"/>
        </w:rPr>
        <w:t>在保证问卷有效性的前提下，</w:t>
      </w:r>
      <w:r>
        <w:rPr>
          <w:rFonts w:hint="default" w:ascii="Times New Roman" w:hAnsi="Times New Roman" w:cs="Times New Roman"/>
          <w:color w:val="auto"/>
          <w:highlight w:val="none"/>
        </w:rPr>
        <w:t>对问卷进行统计分析，得出各项分析结果。</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eastAsia="zh-Hans"/>
        </w:rPr>
        <w:t>（4）</w:t>
      </w:r>
      <w:r>
        <w:rPr>
          <w:rFonts w:hint="default" w:ascii="Times New Roman" w:hAnsi="Times New Roman" w:cs="Times New Roman"/>
          <w:b/>
          <w:bCs/>
          <w:color w:val="auto"/>
          <w:highlight w:val="none"/>
        </w:rPr>
        <w:t>撰写绩效评价报告</w:t>
      </w:r>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综合基础数据、问卷分析和综合评分表，结合现场核查情况，依据评价指标体系进行打分，分析得失分原因，完成绩效评价报告的撰写。</w:t>
      </w:r>
      <w:bookmarkStart w:id="75" w:name="_Toc374101376"/>
      <w:bookmarkEnd w:id="75"/>
      <w:bookmarkStart w:id="76" w:name="_Toc419452332"/>
      <w:bookmarkEnd w:id="76"/>
      <w:bookmarkStart w:id="77" w:name="_Toc395253808"/>
      <w:bookmarkEnd w:id="77"/>
      <w:bookmarkStart w:id="78" w:name="_Toc454544367"/>
      <w:bookmarkEnd w:id="78"/>
      <w:bookmarkStart w:id="79" w:name="_Toc448478649"/>
      <w:bookmarkEnd w:id="79"/>
      <w:bookmarkStart w:id="80" w:name="_Toc14373"/>
      <w:bookmarkEnd w:id="80"/>
    </w:p>
    <w:p>
      <w:pPr>
        <w:pStyle w:val="7"/>
        <w:pageBreakBefore w:val="0"/>
        <w:kinsoku/>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81" w:name="_Toc27066"/>
      <w:r>
        <w:rPr>
          <w:rFonts w:hint="default" w:ascii="Times New Roman" w:hAnsi="Times New Roman" w:eastAsia="Heiti SC Medium" w:cs="Times New Roman"/>
          <w:b/>
          <w:color w:val="auto"/>
          <w:highlight w:val="none"/>
        </w:rPr>
        <w:t>三、综合评价情况及评价结论（附相关评分表）</w:t>
      </w:r>
      <w:bookmarkEnd w:id="81"/>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Hans"/>
        </w:rPr>
        <w:t>评价组</w:t>
      </w:r>
      <w:r>
        <w:rPr>
          <w:rFonts w:hint="default" w:ascii="Times New Roman" w:hAnsi="Times New Roman" w:cs="Times New Roman"/>
          <w:color w:val="auto"/>
          <w:highlight w:val="none"/>
        </w:rPr>
        <w:t>坚持评估资料的真实性、全面性、多样性和具体分析的客观性、可比性、科学性等原则，</w:t>
      </w:r>
      <w:r>
        <w:rPr>
          <w:rFonts w:hint="default" w:ascii="Times New Roman" w:hAnsi="Times New Roman" w:cs="Times New Roman"/>
          <w:color w:val="auto"/>
          <w:highlight w:val="none"/>
          <w:lang w:eastAsia="zh-Hans"/>
        </w:rPr>
        <w:t>并</w:t>
      </w:r>
      <w:r>
        <w:rPr>
          <w:rFonts w:hint="default" w:ascii="Times New Roman" w:hAnsi="Times New Roman" w:cs="Times New Roman"/>
          <w:color w:val="auto"/>
          <w:highlight w:val="none"/>
        </w:rPr>
        <w:t>运用比较法、成本效益分析法、统计抽样分析法等具体方法</w:t>
      </w:r>
      <w:r>
        <w:rPr>
          <w:rFonts w:hint="default" w:ascii="Times New Roman" w:hAnsi="Times New Roman" w:cs="Times New Roman"/>
          <w:color w:val="auto"/>
          <w:highlight w:val="none"/>
          <w:lang w:eastAsia="zh-Hans"/>
        </w:rPr>
        <w:t>，结合现场核查、访谈、问卷等调研情况，对项目进行了综合评价，尽可能</w:t>
      </w:r>
      <w:r>
        <w:rPr>
          <w:rFonts w:hint="default" w:ascii="Times New Roman" w:hAnsi="Times New Roman" w:cs="Times New Roman"/>
          <w:color w:val="auto"/>
          <w:highlight w:val="none"/>
        </w:rPr>
        <w:t>客观、公正、真实、准确地反映出财政支出的实际效果</w:t>
      </w:r>
      <w:r>
        <w:rPr>
          <w:rFonts w:hint="default" w:ascii="Times New Roman" w:hAnsi="Times New Roman" w:cs="Times New Roman"/>
          <w:color w:val="auto"/>
          <w:highlight w:val="none"/>
          <w:lang w:eastAsia="zh-Hans"/>
        </w:rPr>
        <w:t>。初步结论如下：</w:t>
      </w:r>
    </w:p>
    <w:p>
      <w:pPr>
        <w:pageBreakBefore w:val="0"/>
        <w:kinsoku/>
        <w:overflowPunct/>
        <w:topLinePunct w:val="0"/>
        <w:bidi w:val="0"/>
        <w:spacing w:line="560" w:lineRule="exact"/>
        <w:rPr>
          <w:rFonts w:hint="eastAsia" w:ascii="Times New Roman" w:hAnsi="Times New Roman" w:eastAsia="仿宋_GB2312" w:cs="Times New Roman"/>
          <w:color w:val="auto"/>
          <w:highlight w:val="none"/>
          <w:lang w:eastAsia="zh-CN"/>
        </w:rPr>
      </w:pPr>
      <w:r>
        <w:rPr>
          <w:rFonts w:hint="default" w:ascii="Times New Roman" w:hAnsi="Times New Roman" w:cs="Times New Roman"/>
          <w:color w:val="auto"/>
          <w:highlight w:val="none"/>
        </w:rPr>
        <w:t>项目资金财政支出综合得分为</w:t>
      </w:r>
      <w:r>
        <w:rPr>
          <w:rFonts w:hint="default" w:ascii="Times New Roman" w:hAnsi="Times New Roman" w:cs="Times New Roman"/>
          <w:color w:val="auto"/>
          <w:highlight w:val="none"/>
          <w:lang w:val="en-US" w:eastAsia="zh-CN"/>
        </w:rPr>
        <w:t>9</w:t>
      </w:r>
      <w:r>
        <w:rPr>
          <w:rFonts w:hint="eastAsia" w:cs="Times New Roman"/>
          <w:color w:val="auto"/>
          <w:highlight w:val="none"/>
          <w:lang w:val="en-US" w:eastAsia="zh-CN"/>
        </w:rPr>
        <w:t>9</w:t>
      </w:r>
      <w:r>
        <w:rPr>
          <w:rFonts w:hint="default" w:ascii="Times New Roman" w:hAnsi="Times New Roman" w:cs="Times New Roman"/>
          <w:color w:val="auto"/>
          <w:highlight w:val="none"/>
        </w:rPr>
        <w:t>分，绩效级别评定为“</w:t>
      </w:r>
      <w:r>
        <w:rPr>
          <w:rFonts w:hint="default" w:ascii="Times New Roman" w:hAnsi="Times New Roman" w:cs="Times New Roman"/>
          <w:color w:val="auto"/>
          <w:highlight w:val="none"/>
          <w:lang w:val="en-US" w:eastAsia="zh-CN"/>
        </w:rPr>
        <w:t>优</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eastAsia="zh-CN"/>
        </w:rPr>
        <w:t>。</w:t>
      </w:r>
    </w:p>
    <w:p>
      <w:pPr>
        <w:pStyle w:val="16"/>
        <w:pageBreakBefore w:val="0"/>
        <w:kinsoku/>
        <w:overflowPunct/>
        <w:topLinePunct w:val="0"/>
        <w:bidi w:val="0"/>
        <w:spacing w:line="560" w:lineRule="exact"/>
        <w:ind w:left="0" w:leftChars="0" w:firstLine="0" w:firstLineChars="0"/>
        <w:jc w:val="center"/>
        <w:rPr>
          <w:rFonts w:hint="default" w:ascii="Times New Roman" w:hAnsi="Times New Roman" w:cs="Times New Roman"/>
          <w:b/>
          <w:bCs/>
          <w:color w:val="auto"/>
          <w:sz w:val="28"/>
          <w:szCs w:val="22"/>
          <w:highlight w:val="none"/>
          <w:lang w:eastAsia="zh-Hans"/>
        </w:rPr>
      </w:pPr>
      <w:r>
        <w:rPr>
          <w:rFonts w:hint="default" w:ascii="Times New Roman" w:hAnsi="Times New Roman" w:cs="Times New Roman"/>
          <w:b/>
          <w:bCs/>
          <w:color w:val="auto"/>
          <w:sz w:val="28"/>
          <w:szCs w:val="22"/>
          <w:highlight w:val="none"/>
          <w:lang w:eastAsia="zh-Hans"/>
        </w:rPr>
        <w:t>综合评分表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9"/>
        <w:gridCol w:w="2163"/>
        <w:gridCol w:w="2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2" w:hRule="atLeast"/>
          <w:jc w:val="center"/>
        </w:trPr>
        <w:tc>
          <w:tcPr>
            <w:tcW w:w="2517" w:type="pct"/>
            <w:tcBorders>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评价指标</w:t>
            </w:r>
          </w:p>
        </w:tc>
        <w:tc>
          <w:tcPr>
            <w:tcW w:w="1240" w:type="pct"/>
            <w:tcBorders>
              <w:left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分值</w:t>
            </w:r>
          </w:p>
        </w:tc>
        <w:tc>
          <w:tcPr>
            <w:tcW w:w="1242" w:type="pct"/>
            <w:tcBorders>
              <w:left w:val="single" w:color="auto" w:sz="4" w:space="0"/>
              <w:bottom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color w:val="auto"/>
                <w:sz w:val="24"/>
                <w:highlight w:val="none"/>
              </w:rPr>
            </w:pPr>
            <w:r>
              <w:rPr>
                <w:rFonts w:hint="default" w:ascii="Times New Roman" w:hAnsi="Times New Roman" w:cs="Times New Roman"/>
                <w:b/>
                <w:color w:val="auto"/>
                <w:sz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4"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决策</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16</w:t>
            </w:r>
          </w:p>
        </w:tc>
        <w:tc>
          <w:tcPr>
            <w:tcW w:w="1242" w:type="pct"/>
            <w:tcBorders>
              <w:top w:val="single" w:color="auto" w:sz="4" w:space="0"/>
              <w:left w:val="single" w:color="auto" w:sz="4" w:space="0"/>
              <w:bottom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3"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过程</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24</w:t>
            </w:r>
          </w:p>
        </w:tc>
        <w:tc>
          <w:tcPr>
            <w:tcW w:w="1242" w:type="pct"/>
            <w:tcBorders>
              <w:top w:val="single" w:color="auto" w:sz="4" w:space="0"/>
              <w:left w:val="single" w:color="auto" w:sz="4" w:space="0"/>
              <w:bottom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24</w:t>
            </w:r>
            <w:r>
              <w:rPr>
                <w:rFonts w:hint="eastAsia" w:cs="Times New Roman"/>
                <w:color w:val="auto"/>
                <w:sz w:val="24"/>
                <w:highlight w:val="no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1"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产出</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4</w:t>
            </w:r>
            <w:r>
              <w:rPr>
                <w:rFonts w:hint="default" w:ascii="Times New Roman" w:hAnsi="Times New Roman" w:cs="Times New Roman"/>
                <w:color w:val="auto"/>
                <w:sz w:val="24"/>
                <w:highlight w:val="none"/>
              </w:rPr>
              <w:t>0</w:t>
            </w:r>
          </w:p>
        </w:tc>
        <w:tc>
          <w:tcPr>
            <w:tcW w:w="1242" w:type="pct"/>
            <w:tcBorders>
              <w:top w:val="single" w:color="auto" w:sz="4" w:space="0"/>
              <w:left w:val="single" w:color="auto" w:sz="4" w:space="0"/>
              <w:bottom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40</w:t>
            </w:r>
            <w:r>
              <w:rPr>
                <w:rFonts w:hint="eastAsia" w:cs="Times New Roman"/>
                <w:color w:val="auto"/>
                <w:sz w:val="24"/>
                <w:highlight w:val="no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1"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效益</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2</w:t>
            </w:r>
            <w:r>
              <w:rPr>
                <w:rFonts w:hint="default" w:ascii="Times New Roman" w:hAnsi="Times New Roman" w:cs="Times New Roman"/>
                <w:color w:val="auto"/>
                <w:sz w:val="24"/>
                <w:highlight w:val="none"/>
              </w:rPr>
              <w:t>0</w:t>
            </w:r>
          </w:p>
        </w:tc>
        <w:tc>
          <w:tcPr>
            <w:tcW w:w="1242" w:type="pct"/>
            <w:tcBorders>
              <w:top w:val="single" w:color="auto" w:sz="4" w:space="0"/>
              <w:left w:val="single" w:color="auto" w:sz="4" w:space="0"/>
              <w:bottom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20</w:t>
            </w:r>
            <w:r>
              <w:rPr>
                <w:rFonts w:hint="eastAsia" w:cs="Times New Roman"/>
                <w:color w:val="auto"/>
                <w:sz w:val="24"/>
                <w:highlight w:val="no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0" w:hRule="atLeast"/>
          <w:jc w:val="center"/>
        </w:trPr>
        <w:tc>
          <w:tcPr>
            <w:tcW w:w="2517" w:type="pct"/>
            <w:tcBorders>
              <w:top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综合绩效</w:t>
            </w:r>
          </w:p>
        </w:tc>
        <w:tc>
          <w:tcPr>
            <w:tcW w:w="1240" w:type="pct"/>
            <w:tcBorders>
              <w:top w:val="single" w:color="auto" w:sz="4" w:space="0"/>
              <w:left w:val="single" w:color="auto" w:sz="4" w:space="0"/>
              <w:bottom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100</w:t>
            </w:r>
          </w:p>
        </w:tc>
        <w:tc>
          <w:tcPr>
            <w:tcW w:w="1242" w:type="pct"/>
            <w:tcBorders>
              <w:top w:val="single" w:color="auto" w:sz="4" w:space="0"/>
              <w:left w:val="single" w:color="auto" w:sz="4" w:space="0"/>
              <w:bottom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9</w:t>
            </w:r>
            <w:r>
              <w:rPr>
                <w:rFonts w:hint="eastAsia" w:cs="Times New Roman"/>
                <w:color w:val="auto"/>
                <w:sz w:val="24"/>
                <w:highlight w:val="none"/>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0" w:hRule="atLeast"/>
          <w:jc w:val="center"/>
        </w:trPr>
        <w:tc>
          <w:tcPr>
            <w:tcW w:w="2517" w:type="pct"/>
            <w:tcBorders>
              <w:top w:val="single" w:color="auto" w:sz="4" w:space="0"/>
              <w:righ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eastAsia="zh-Hans"/>
              </w:rPr>
            </w:pPr>
            <w:r>
              <w:rPr>
                <w:rFonts w:hint="default" w:ascii="Times New Roman" w:hAnsi="Times New Roman" w:cs="Times New Roman"/>
                <w:color w:val="auto"/>
                <w:sz w:val="24"/>
                <w:highlight w:val="none"/>
                <w:lang w:eastAsia="zh-Hans"/>
              </w:rPr>
              <w:t>绩效等级</w:t>
            </w:r>
          </w:p>
        </w:tc>
        <w:tc>
          <w:tcPr>
            <w:tcW w:w="2482" w:type="pct"/>
            <w:gridSpan w:val="2"/>
            <w:tcBorders>
              <w:top w:val="single" w:color="auto" w:sz="4" w:space="0"/>
              <w:left w:val="single" w:color="auto" w:sz="4" w:space="0"/>
            </w:tcBorders>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优</w:t>
            </w:r>
          </w:p>
        </w:tc>
      </w:tr>
    </w:tbl>
    <w:p>
      <w:pPr>
        <w:pStyle w:val="7"/>
        <w:pageBreakBefore w:val="0"/>
        <w:kinsoku/>
        <w:overflowPunct/>
        <w:topLinePunct w:val="0"/>
        <w:bidi w:val="0"/>
        <w:spacing w:line="560" w:lineRule="exact"/>
        <w:outlineLvl w:val="9"/>
        <w:rPr>
          <w:rFonts w:hint="default" w:ascii="Times New Roman" w:hAnsi="Times New Roman" w:eastAsia="Heiti SC Medium" w:cs="Times New Roman"/>
          <w:b/>
          <w:color w:val="auto"/>
          <w:highlight w:val="none"/>
        </w:rPr>
      </w:pPr>
      <w:bookmarkStart w:id="82" w:name="_Toc31162"/>
      <w:r>
        <w:rPr>
          <w:rFonts w:hint="default" w:ascii="Times New Roman" w:hAnsi="Times New Roman" w:eastAsia="Heiti SC Medium" w:cs="Times New Roman"/>
          <w:b/>
          <w:color w:val="auto"/>
          <w:highlight w:val="none"/>
        </w:rPr>
        <w:t>四、绩效评价指标分析</w:t>
      </w:r>
      <w:bookmarkEnd w:id="82"/>
    </w:p>
    <w:p>
      <w:pPr>
        <w:pStyle w:val="7"/>
        <w:pageBreakBefore w:val="0"/>
        <w:kinsoku/>
        <w:overflowPunct/>
        <w:topLinePunct w:val="0"/>
        <w:bidi w:val="0"/>
        <w:spacing w:line="560" w:lineRule="exact"/>
        <w:outlineLvl w:val="1"/>
        <w:rPr>
          <w:rFonts w:hint="default" w:ascii="Times New Roman" w:hAnsi="Times New Roman" w:eastAsia="楷体_GB2312" w:cs="Times New Roman"/>
          <w:color w:val="auto"/>
          <w:highlight w:val="none"/>
        </w:rPr>
      </w:pPr>
      <w:bookmarkStart w:id="83" w:name="_Toc6772"/>
      <w:r>
        <w:rPr>
          <w:rFonts w:hint="default" w:ascii="Times New Roman" w:hAnsi="Times New Roman" w:eastAsia="楷体_GB2312" w:cs="Times New Roman"/>
          <w:color w:val="auto"/>
          <w:highlight w:val="none"/>
        </w:rPr>
        <w:t>（一）项目决策情况</w:t>
      </w:r>
      <w:bookmarkEnd w:id="83"/>
    </w:p>
    <w:p>
      <w:pPr>
        <w:pageBreakBefore w:val="0"/>
        <w:kinsoku/>
        <w:overflowPunct/>
        <w:topLinePunct w:val="0"/>
        <w:bidi w:val="0"/>
        <w:spacing w:line="560" w:lineRule="exact"/>
        <w:rPr>
          <w:rFonts w:hint="eastAsia" w:ascii="Times New Roman" w:hAnsi="Times New Roman" w:eastAsia="仿宋_GB2312" w:cs="Times New Roman"/>
          <w:color w:val="auto"/>
          <w:highlight w:val="none"/>
          <w:lang w:eastAsia="zh-CN"/>
        </w:rPr>
      </w:pPr>
      <w:r>
        <w:rPr>
          <w:rFonts w:hint="default" w:ascii="Times New Roman" w:hAnsi="Times New Roman" w:cs="Times New Roman"/>
          <w:color w:val="auto"/>
          <w:highlight w:val="none"/>
        </w:rPr>
        <w:t>项目决策指标从项目立项、绩效目标和资金投入三个方面对项目进行考察，项目决策类指标分值共计16分，本项目实际得分为</w:t>
      </w:r>
      <w:r>
        <w:rPr>
          <w:rFonts w:hint="default" w:ascii="Times New Roman" w:hAnsi="Times New Roman" w:cs="Times New Roman"/>
          <w:color w:val="auto"/>
          <w:highlight w:val="none"/>
          <w:lang w:val="en-US" w:eastAsia="zh-CN"/>
        </w:rPr>
        <w:t>1</w:t>
      </w:r>
      <w:r>
        <w:rPr>
          <w:rFonts w:hint="eastAsia" w:cs="Times New Roman"/>
          <w:color w:val="auto"/>
          <w:highlight w:val="none"/>
          <w:lang w:val="en-US" w:eastAsia="zh-CN"/>
        </w:rPr>
        <w:t>5</w:t>
      </w:r>
      <w:r>
        <w:rPr>
          <w:rFonts w:hint="default" w:ascii="Times New Roman" w:hAnsi="Times New Roman" w:cs="Times New Roman"/>
          <w:color w:val="auto"/>
          <w:highlight w:val="none"/>
        </w:rPr>
        <w:t>分，得分率为</w:t>
      </w:r>
      <w:r>
        <w:rPr>
          <w:rFonts w:hint="default" w:ascii="Times New Roman" w:hAnsi="Times New Roman" w:cs="Times New Roman"/>
          <w:color w:val="auto"/>
          <w:highlight w:val="none"/>
          <w:lang w:val="en-US" w:eastAsia="zh-CN"/>
        </w:rPr>
        <w:t>93.75%</w:t>
      </w:r>
      <w:r>
        <w:rPr>
          <w:rFonts w:hint="default" w:ascii="Times New Roman" w:hAnsi="Times New Roman" w:cs="Times New Roman"/>
          <w:color w:val="auto"/>
          <w:highlight w:val="none"/>
        </w:rPr>
        <w:t>。各个指标的实际得分情况见下表</w:t>
      </w:r>
      <w:r>
        <w:rPr>
          <w:rFonts w:hint="eastAsia" w:ascii="Times New Roman" w:hAnsi="Times New Roman" w:cs="Times New Roman"/>
          <w:color w:val="auto"/>
          <w:highlight w:val="none"/>
          <w:lang w:eastAsia="zh-CN"/>
        </w:rPr>
        <w:t>：</w:t>
      </w:r>
    </w:p>
    <w:p>
      <w:pPr>
        <w:pStyle w:val="24"/>
        <w:pageBreakBefore w:val="0"/>
        <w:kinsoku/>
        <w:overflowPunct/>
        <w:topLinePunct w:val="0"/>
        <w:bidi w:val="0"/>
        <w:spacing w:line="560" w:lineRule="exact"/>
        <w:ind w:firstLine="482"/>
        <w:rPr>
          <w:rFonts w:hint="default" w:ascii="Times New Roman" w:hAnsi="Times New Roman" w:cs="Times New Roman"/>
          <w:color w:val="auto"/>
          <w:highlight w:val="none"/>
        </w:rPr>
      </w:pPr>
      <w:r>
        <w:rPr>
          <w:rFonts w:hint="default" w:ascii="Times New Roman" w:hAnsi="Times New Roman" w:cs="Times New Roman"/>
          <w:color w:val="auto"/>
          <w:highlight w:val="none"/>
        </w:rPr>
        <w:t>项目决策类指标得分情况表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7"/>
        <w:gridCol w:w="1733"/>
        <w:gridCol w:w="1734"/>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评价指标</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分值</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立项依据充分性</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2.00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立项程序规范性</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2.00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1"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绩效目标合理性</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1.00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绩效指标明确性</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eastAsia" w:cs="Times New Roman"/>
                <w:color w:val="auto"/>
                <w:sz w:val="24"/>
                <w:highlight w:val="none"/>
                <w:lang w:val="en-US" w:eastAsia="zh-CN"/>
              </w:rPr>
              <w:t>2</w:t>
            </w:r>
            <w:r>
              <w:rPr>
                <w:rFonts w:hint="default" w:ascii="Times New Roman" w:hAnsi="Times New Roman" w:cs="Times New Roman"/>
                <w:color w:val="auto"/>
                <w:sz w:val="24"/>
                <w:highlight w:val="none"/>
                <w:lang w:val="en-US" w:eastAsia="zh-CN"/>
              </w:rPr>
              <w:t xml:space="preserve">.00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预算编制科学性</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4.00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资金分配合理性</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4.00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1"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b/>
                <w:bCs/>
                <w:color w:val="auto"/>
                <w:sz w:val="24"/>
                <w:highlight w:val="none"/>
              </w:rPr>
              <w:t>小计</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b/>
                <w:bCs/>
                <w:color w:val="auto"/>
                <w:sz w:val="24"/>
                <w:highlight w:val="none"/>
                <w:lang w:eastAsia="zh-CN"/>
              </w:rPr>
            </w:pPr>
            <w:r>
              <w:rPr>
                <w:rFonts w:hint="default" w:ascii="Times New Roman" w:hAnsi="Times New Roman" w:cs="Times New Roman"/>
                <w:b/>
                <w:bCs/>
                <w:color w:val="auto"/>
                <w:sz w:val="24"/>
                <w:highlight w:val="none"/>
              </w:rPr>
              <w:t>1</w:t>
            </w:r>
            <w:r>
              <w:rPr>
                <w:rFonts w:hint="default" w:ascii="Times New Roman" w:hAnsi="Times New Roman" w:cs="Times New Roman"/>
                <w:b/>
                <w:bCs/>
                <w:color w:val="auto"/>
                <w:sz w:val="24"/>
                <w:highlight w:val="none"/>
                <w:lang w:val="en-US" w:eastAsia="zh-CN"/>
              </w:rPr>
              <w:t>6</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1</w:t>
            </w:r>
            <w:r>
              <w:rPr>
                <w:rFonts w:hint="eastAsia" w:cs="Times New Roman"/>
                <w:b/>
                <w:bCs/>
                <w:color w:val="auto"/>
                <w:sz w:val="24"/>
                <w:highlight w:val="none"/>
                <w:lang w:val="en-US" w:eastAsia="zh-CN"/>
              </w:rPr>
              <w:t>5</w:t>
            </w:r>
            <w:r>
              <w:rPr>
                <w:rFonts w:hint="default" w:ascii="Times New Roman" w:hAnsi="Times New Roman" w:cs="Times New Roman"/>
                <w:b/>
                <w:bCs/>
                <w:color w:val="auto"/>
                <w:sz w:val="24"/>
                <w:highlight w:val="none"/>
                <w:lang w:val="en-US" w:eastAsia="zh-CN"/>
              </w:rPr>
              <w:t>.00</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93.75%</w:t>
            </w:r>
          </w:p>
        </w:tc>
      </w:tr>
    </w:tbl>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rPr>
      </w:pPr>
      <w:bookmarkStart w:id="84" w:name="_Toc15116"/>
      <w:bookmarkStart w:id="85" w:name="_Toc14520"/>
      <w:bookmarkStart w:id="86" w:name="_Toc13472"/>
      <w:bookmarkStart w:id="87" w:name="_Toc31510"/>
      <w:bookmarkStart w:id="88" w:name="_Toc10622"/>
      <w:r>
        <w:rPr>
          <w:rFonts w:hint="default" w:ascii="Times New Roman" w:hAnsi="Times New Roman" w:cs="Times New Roman"/>
          <w:b/>
          <w:bCs/>
          <w:color w:val="auto"/>
          <w:highlight w:val="none"/>
          <w:lang w:val="en-US" w:eastAsia="zh-CN"/>
        </w:rPr>
        <w:t>4.1.1</w:t>
      </w:r>
      <w:r>
        <w:rPr>
          <w:rFonts w:hint="default" w:ascii="Times New Roman" w:hAnsi="Times New Roman" w:cs="Times New Roman"/>
          <w:b/>
          <w:bCs/>
          <w:color w:val="auto"/>
          <w:highlight w:val="none"/>
        </w:rPr>
        <w:t>立项依据充分性</w:t>
      </w:r>
      <w:bookmarkEnd w:id="84"/>
      <w:bookmarkEnd w:id="85"/>
      <w:bookmarkEnd w:id="86"/>
      <w:bookmarkEnd w:id="87"/>
      <w:bookmarkEnd w:id="88"/>
    </w:p>
    <w:p>
      <w:pPr>
        <w:pageBreakBefore w:val="0"/>
        <w:kinsoku/>
        <w:overflowPunct/>
        <w:topLinePunct w:val="0"/>
        <w:bidi w:val="0"/>
        <w:spacing w:line="560" w:lineRule="exact"/>
        <w:ind w:firstLine="643"/>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cs="Times New Roman"/>
          <w:color w:val="auto"/>
          <w:highlight w:val="none"/>
        </w:rPr>
        <w:t>项目立项是否符合法律法规、相关政策、发展规划以及部门职责，用以反映和考核项目立项依据情况。</w:t>
      </w:r>
    </w:p>
    <w:p>
      <w:pPr>
        <w:pStyle w:val="16"/>
        <w:pageBreakBefore w:val="0"/>
        <w:kinsoku/>
        <w:overflowPunct/>
        <w:topLinePunct w:val="0"/>
        <w:bidi w:val="0"/>
        <w:spacing w:line="560" w:lineRule="exact"/>
        <w:ind w:left="0" w:leftChars="0" w:firstLine="643"/>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cs="Times New Roman"/>
          <w:color w:val="auto"/>
          <w:highlight w:val="none"/>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p>
      <w:pPr>
        <w:pStyle w:val="16"/>
        <w:pageBreakBefore w:val="0"/>
        <w:kinsoku/>
        <w:overflowPunct/>
        <w:topLinePunct w:val="0"/>
        <w:bidi w:val="0"/>
        <w:spacing w:line="560" w:lineRule="exact"/>
        <w:ind w:left="0" w:leftChars="0" w:firstLine="643"/>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评分标准：</w:t>
      </w:r>
      <w:r>
        <w:rPr>
          <w:rFonts w:hint="default" w:ascii="Times New Roman" w:hAnsi="Times New Roman" w:cs="Times New Roman"/>
          <w:color w:val="auto"/>
          <w:highlight w:val="none"/>
        </w:rPr>
        <w:t>满足一项得20%权重分</w:t>
      </w:r>
      <w:r>
        <w:rPr>
          <w:rFonts w:hint="default" w:ascii="Times New Roman" w:hAnsi="Times New Roman" w:cs="Times New Roman"/>
          <w:color w:val="auto"/>
          <w:highlight w:val="none"/>
          <w:lang w:eastAsia="zh-CN"/>
        </w:rPr>
        <w:t>。</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b w:val="0"/>
          <w:bCs w:val="0"/>
          <w:color w:val="auto"/>
          <w:highlight w:val="none"/>
          <w:lang w:val="en-US" w:eastAsia="zh-CN"/>
        </w:rPr>
        <w:t>海南省</w:t>
      </w:r>
      <w:r>
        <w:rPr>
          <w:rFonts w:hint="default" w:ascii="Times New Roman" w:hAnsi="Times New Roman" w:cs="Times New Roman"/>
          <w:color w:val="auto"/>
          <w:highlight w:val="none"/>
          <w:lang w:val="en-US" w:eastAsia="zh-CN"/>
        </w:rPr>
        <w:t>为提高高速公路服务水平，改善交通条件，促进海南旅游业发展，对海南环岛东线海口至三亚高速公路项目、海口至文昌高速公路改建等项目进行建设。海南省交通投资控股有限公司向进出口银行、国家开发银行等金融机构贷款，以确保项目建设用款需求，顺利推进道路建设项目。2023年高速公路偿债项目为延续性项目，项目起始时间为2021年。根据</w:t>
      </w:r>
      <w:r>
        <w:rPr>
          <w:rFonts w:hint="default" w:ascii="Times New Roman" w:hAnsi="Times New Roman" w:cs="Times New Roman"/>
          <w:color w:val="auto"/>
          <w:highlight w:val="none"/>
        </w:rPr>
        <w:t>《海南省交通运输厅关于批复2023年交通运输部门预算的通知》（琼交财〔202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41</w:t>
      </w:r>
      <w:r>
        <w:rPr>
          <w:rFonts w:hint="default" w:ascii="Times New Roman" w:hAnsi="Times New Roman" w:cs="Times New Roman"/>
          <w:color w:val="auto"/>
          <w:highlight w:val="none"/>
        </w:rPr>
        <w:t>号）</w:t>
      </w:r>
      <w:r>
        <w:rPr>
          <w:rFonts w:hint="default" w:ascii="Times New Roman" w:hAnsi="Times New Roman" w:cs="Times New Roman"/>
          <w:color w:val="auto"/>
          <w:highlight w:val="none"/>
          <w:lang w:val="en-US" w:eastAsia="zh-CN"/>
        </w:rPr>
        <w:t>，2023年年初海南省交通运输厅批复2023年高速公路建设偿债资金预算。项目立项符合法律法规、相关政策、发展规划以及部门职责，项目立项</w:t>
      </w:r>
      <w:r>
        <w:rPr>
          <w:rFonts w:hint="eastAsia" w:ascii="Times New Roman" w:hAnsi="Times New Roman" w:cs="Times New Roman"/>
          <w:color w:val="auto"/>
          <w:highlight w:val="none"/>
          <w:lang w:val="en-US" w:eastAsia="zh-CN"/>
        </w:rPr>
        <w:t>依据</w:t>
      </w:r>
      <w:r>
        <w:rPr>
          <w:rFonts w:hint="default" w:ascii="Times New Roman" w:hAnsi="Times New Roman" w:cs="Times New Roman"/>
          <w:color w:val="auto"/>
          <w:highlight w:val="none"/>
          <w:lang w:val="en-US" w:eastAsia="zh-CN"/>
        </w:rPr>
        <w:t>充分，该指标得满分。</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89" w:name="_Toc18035"/>
      <w:bookmarkStart w:id="90" w:name="_Toc12831"/>
      <w:bookmarkStart w:id="91" w:name="_Toc21119"/>
      <w:bookmarkStart w:id="92" w:name="_Toc6054"/>
      <w:bookmarkStart w:id="93" w:name="_Toc8344"/>
      <w:r>
        <w:rPr>
          <w:rFonts w:hint="default" w:ascii="Times New Roman" w:hAnsi="Times New Roman" w:cs="Times New Roman"/>
          <w:b/>
          <w:bCs/>
          <w:color w:val="auto"/>
          <w:highlight w:val="none"/>
          <w:lang w:val="en-US" w:eastAsia="zh-CN"/>
        </w:rPr>
        <w:t>4.1.2立项程序规范性</w:t>
      </w:r>
      <w:bookmarkEnd w:id="89"/>
      <w:bookmarkEnd w:id="90"/>
      <w:bookmarkEnd w:id="91"/>
      <w:bookmarkEnd w:id="92"/>
      <w:bookmarkEnd w:id="93"/>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项目申请、设立过程是否符合相关要求，用以反映和考核项目立项的规范情况。</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①项目是否按照规定的程序申请设立；②审批文件、材料是否符合相关要求；③事前是否已经过必要的可行性研究、专家论证、风险评估、绩效评估、集体决策。</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满足一项得1/3权重分</w:t>
      </w:r>
      <w:r>
        <w:rPr>
          <w:rFonts w:hint="default" w:ascii="Times New Roman" w:hAnsi="Times New Roman" w:cs="Times New Roman"/>
          <w:color w:val="auto"/>
          <w:kern w:val="2"/>
          <w:sz w:val="32"/>
          <w:szCs w:val="24"/>
          <w:highlight w:val="none"/>
          <w:lang w:val="en-US" w:eastAsia="zh-CN" w:bidi="ar-SA"/>
        </w:rPr>
        <w:t>。</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2023年高速公路偿债项目为延续性项目，项目起始时间为2021年，根据</w:t>
      </w:r>
      <w:r>
        <w:rPr>
          <w:rFonts w:hint="default" w:ascii="Times New Roman" w:hAnsi="Times New Roman" w:cs="Times New Roman"/>
          <w:color w:val="auto"/>
          <w:highlight w:val="none"/>
        </w:rPr>
        <w:t>《海南省交通运输厅关于批复2023年交通运输部门预算的通知》（琼交财〔202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41</w:t>
      </w:r>
      <w:r>
        <w:rPr>
          <w:rFonts w:hint="default" w:ascii="Times New Roman" w:hAnsi="Times New Roman" w:cs="Times New Roman"/>
          <w:color w:val="auto"/>
          <w:highlight w:val="none"/>
        </w:rPr>
        <w:t>号）</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项目得到批复。按规定程序进行预算申报，项目立项程序规范，该指标得满分。</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94" w:name="_Toc9555"/>
      <w:bookmarkStart w:id="95" w:name="_Toc3707"/>
      <w:bookmarkStart w:id="96" w:name="_Toc30803"/>
      <w:bookmarkStart w:id="97" w:name="_Toc6333"/>
      <w:bookmarkStart w:id="98" w:name="_Toc24257"/>
      <w:r>
        <w:rPr>
          <w:rFonts w:hint="default" w:ascii="Times New Roman" w:hAnsi="Times New Roman" w:cs="Times New Roman"/>
          <w:b/>
          <w:bCs/>
          <w:color w:val="auto"/>
          <w:highlight w:val="none"/>
          <w:lang w:val="en-US" w:eastAsia="zh-CN"/>
        </w:rPr>
        <w:t>4.1.3绩效目标合理性</w:t>
      </w:r>
      <w:bookmarkEnd w:id="94"/>
      <w:bookmarkEnd w:id="95"/>
      <w:bookmarkEnd w:id="96"/>
      <w:bookmarkEnd w:id="97"/>
      <w:bookmarkEnd w:id="98"/>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项目所设定的绩效目标是否依据充分，是否符合客观实际，用以反映和考核项目绩效目标与项目实施的相符情况。</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满足一项得25%权重分。</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根据项目绩效目标申报表，2023年高速公路建设偿债项目年度绩效目标为：降低交通系统负债率。绩效目标与实际工作内容相关，但项目绩效目标不够具体，不能体现出预期的产出水平、从绩效目标中不能确定与预算确定的项目投资额或资金量相匹配。</w:t>
      </w:r>
      <w:r>
        <w:rPr>
          <w:rFonts w:hint="eastAsia" w:cs="Times New Roman"/>
          <w:color w:val="auto"/>
          <w:highlight w:val="none"/>
          <w:lang w:val="en-US" w:eastAsia="zh-CN"/>
        </w:rPr>
        <w:t>该</w:t>
      </w:r>
      <w:r>
        <w:rPr>
          <w:rFonts w:hint="default" w:ascii="Times New Roman" w:hAnsi="Times New Roman" w:cs="Times New Roman"/>
          <w:color w:val="auto"/>
          <w:highlight w:val="none"/>
          <w:lang w:val="en-US" w:eastAsia="zh-CN"/>
        </w:rPr>
        <w:t>指标扣50%权重分。</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4.1.4绩效指标明确性</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依据绩效目标设定的绩效指标是否清晰、细化、可衡量等，用以反映和考核项目绩效目标的明细化情况。</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①是否将项目绩效目标细化分解为具体的绩效指标；②是否通过清晰、可衡量的指标值予以体现；③是否与项目目标任务数或计划数相对应。</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满足一项得1/3权重分。</w:t>
      </w:r>
    </w:p>
    <w:p>
      <w:pPr>
        <w:ind w:firstLine="643"/>
        <w:rPr>
          <w:rFonts w:hint="default"/>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根据项目绩效目标申报表,部门已将高速公路建设偿债项目绩效目标分解为具体的绩效指标，指标</w:t>
      </w:r>
      <w:r>
        <w:rPr>
          <w:rFonts w:hint="default" w:ascii="Times New Roman" w:hAnsi="Times New Roman" w:eastAsia="仿宋_GB2312" w:cs="Times New Roman"/>
          <w:color w:val="auto"/>
          <w:kern w:val="2"/>
          <w:sz w:val="32"/>
          <w:szCs w:val="24"/>
          <w:highlight w:val="none"/>
          <w:lang w:val="en-US" w:eastAsia="zh-CN" w:bidi="ar-SA"/>
        </w:rPr>
        <w:t>清晰、细化、可衡量</w:t>
      </w:r>
      <w:r>
        <w:rPr>
          <w:rFonts w:hint="default" w:ascii="Times New Roman" w:hAnsi="Times New Roman" w:cs="Times New Roman"/>
          <w:color w:val="auto"/>
          <w:highlight w:val="none"/>
          <w:lang w:val="en-US" w:eastAsia="zh-CN"/>
        </w:rPr>
        <w:t>。</w:t>
      </w:r>
      <w:r>
        <w:rPr>
          <w:rFonts w:hint="eastAsia" w:cs="Times New Roman"/>
          <w:color w:val="auto"/>
          <w:highlight w:val="none"/>
          <w:lang w:val="en-US" w:eastAsia="zh-CN"/>
        </w:rPr>
        <w:t>该</w:t>
      </w:r>
      <w:r>
        <w:rPr>
          <w:rFonts w:hint="default" w:ascii="Times New Roman" w:hAnsi="Times New Roman" w:cs="Times New Roman"/>
          <w:color w:val="auto"/>
          <w:highlight w:val="none"/>
          <w:lang w:val="en-US" w:eastAsia="zh-CN"/>
        </w:rPr>
        <w:t>指标</w:t>
      </w:r>
      <w:r>
        <w:rPr>
          <w:rFonts w:hint="eastAsia" w:cs="Times New Roman"/>
          <w:color w:val="auto"/>
          <w:highlight w:val="none"/>
          <w:lang w:val="en-US" w:eastAsia="zh-CN"/>
        </w:rPr>
        <w:t>得满分</w:t>
      </w:r>
      <w:r>
        <w:rPr>
          <w:rFonts w:hint="default" w:ascii="Times New Roman" w:hAnsi="Times New Roman" w:cs="Times New Roman"/>
          <w:color w:val="auto"/>
          <w:highlight w:val="none"/>
          <w:lang w:val="en-US" w:eastAsia="zh-CN"/>
        </w:rPr>
        <w:t>。</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99" w:name="_Toc25319"/>
      <w:bookmarkStart w:id="100" w:name="_Toc24800"/>
      <w:bookmarkStart w:id="101" w:name="_Toc27735"/>
      <w:bookmarkStart w:id="102" w:name="_Toc7331"/>
      <w:bookmarkStart w:id="103" w:name="_Toc21793"/>
      <w:r>
        <w:rPr>
          <w:rFonts w:hint="default" w:ascii="Times New Roman" w:hAnsi="Times New Roman" w:cs="Times New Roman"/>
          <w:b/>
          <w:bCs/>
          <w:color w:val="auto"/>
          <w:highlight w:val="none"/>
          <w:lang w:val="en-US" w:eastAsia="zh-CN"/>
        </w:rPr>
        <w:t>4.1.5预算编制科学性</w:t>
      </w:r>
      <w:bookmarkEnd w:id="99"/>
      <w:bookmarkEnd w:id="100"/>
      <w:bookmarkEnd w:id="101"/>
      <w:bookmarkEnd w:id="102"/>
      <w:bookmarkEnd w:id="103"/>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项目预算编制是否经过科学论证、有明确标准，资金额度与年度目标是否相适应，用以反映和考核项目预算编制的科学性、合理性情况。</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①预算编制是否经过科学论证；②预算内容与项目内容是否匹配；③预算额度测算依据是否充分，是否按照标准编制；④预算确定的项目投资额或资金量是否与工作任务相匹配。</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满足一项得25%权重分</w:t>
      </w:r>
      <w:r>
        <w:rPr>
          <w:rFonts w:hint="default" w:ascii="Times New Roman" w:hAnsi="Times New Roman" w:cs="Times New Roman"/>
          <w:color w:val="auto"/>
          <w:kern w:val="2"/>
          <w:sz w:val="32"/>
          <w:szCs w:val="24"/>
          <w:highlight w:val="none"/>
          <w:lang w:val="en-US" w:eastAsia="zh-CN" w:bidi="ar-SA"/>
        </w:rPr>
        <w:t>。</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根据海南省交通运输厅2023年高速公路建设偿债项目测算明细表，项目测算依据充分，预算确定的项目投资额与任务明细相匹配。预算编制科学性，该指标得满分。</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04" w:name="_Toc20420"/>
      <w:bookmarkStart w:id="105" w:name="_Toc25816"/>
      <w:bookmarkStart w:id="106" w:name="_Toc20371"/>
      <w:bookmarkStart w:id="107" w:name="_Toc31309"/>
      <w:bookmarkStart w:id="108" w:name="_Toc1704"/>
      <w:r>
        <w:rPr>
          <w:rFonts w:hint="default" w:ascii="Times New Roman" w:hAnsi="Times New Roman" w:cs="Times New Roman"/>
          <w:b/>
          <w:bCs/>
          <w:color w:val="auto"/>
          <w:highlight w:val="none"/>
          <w:lang w:val="en-US" w:eastAsia="zh-CN"/>
        </w:rPr>
        <w:t>4.1.6资金分配合理性</w:t>
      </w:r>
      <w:bookmarkEnd w:id="104"/>
      <w:bookmarkEnd w:id="105"/>
      <w:bookmarkEnd w:id="106"/>
      <w:bookmarkEnd w:id="107"/>
      <w:bookmarkEnd w:id="108"/>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项目预算资金分配是否有测算依据，与补助单位或地方实际是否相适应，用以反映和考核项目预算资金分配的科学性、合理性情况。</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①预算资金分配依据是否充分；②资金分配额度是否合理，与项目单位或地方实际是否相适应。</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满足一项得50%权重分。</w:t>
      </w:r>
    </w:p>
    <w:p>
      <w:pPr>
        <w:pStyle w:val="16"/>
        <w:pageBreakBefore w:val="0"/>
        <w:kinsoku/>
        <w:overflowPunct/>
        <w:topLinePunct w:val="0"/>
        <w:bidi w:val="0"/>
        <w:spacing w:line="560" w:lineRule="exact"/>
        <w:ind w:left="0" w:leftChars="0" w:firstLine="642" w:firstLineChars="200"/>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部门依据项目测算及</w:t>
      </w:r>
      <w:r>
        <w:rPr>
          <w:rFonts w:hint="default" w:ascii="Times New Roman" w:hAnsi="Times New Roman" w:cs="Times New Roman"/>
          <w:color w:val="auto"/>
          <w:highlight w:val="none"/>
        </w:rPr>
        <w:t>《海南省交通运输厅关于批复2023年交通运输部门预算的通知》（琼交财〔202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41</w:t>
      </w:r>
      <w:r>
        <w:rPr>
          <w:rFonts w:hint="default" w:ascii="Times New Roman" w:hAnsi="Times New Roman" w:cs="Times New Roman"/>
          <w:color w:val="auto"/>
          <w:highlight w:val="none"/>
        </w:rPr>
        <w:t>号）</w:t>
      </w:r>
      <w:r>
        <w:rPr>
          <w:rFonts w:hint="default" w:ascii="Times New Roman" w:hAnsi="Times New Roman" w:eastAsia="仿宋_GB2312" w:cs="Times New Roman"/>
          <w:color w:val="auto"/>
          <w:kern w:val="2"/>
          <w:sz w:val="32"/>
          <w:szCs w:val="24"/>
          <w:highlight w:val="none"/>
          <w:lang w:val="en-US" w:eastAsia="zh-CN" w:bidi="ar-SA"/>
        </w:rPr>
        <w:t>批复的相关要求进行资金分配。预算资金分配依据充分，资金分配额度合理，该指标得满分。</w:t>
      </w:r>
    </w:p>
    <w:p>
      <w:pPr>
        <w:pStyle w:val="7"/>
        <w:pageBreakBefore w:val="0"/>
        <w:numPr>
          <w:ilvl w:val="0"/>
          <w:numId w:val="3"/>
        </w:numPr>
        <w:kinsoku/>
        <w:overflowPunct/>
        <w:topLinePunct w:val="0"/>
        <w:bidi w:val="0"/>
        <w:spacing w:line="560" w:lineRule="exact"/>
        <w:outlineLvl w:val="1"/>
        <w:rPr>
          <w:rFonts w:hint="default" w:ascii="Times New Roman" w:hAnsi="Times New Roman" w:eastAsia="楷体_GB2312" w:cs="Times New Roman"/>
          <w:color w:val="auto"/>
          <w:highlight w:val="none"/>
        </w:rPr>
      </w:pPr>
      <w:bookmarkStart w:id="109" w:name="_Toc14677"/>
      <w:r>
        <w:rPr>
          <w:rFonts w:hint="default" w:ascii="Times New Roman" w:hAnsi="Times New Roman" w:eastAsia="楷体_GB2312" w:cs="Times New Roman"/>
          <w:color w:val="auto"/>
          <w:highlight w:val="none"/>
        </w:rPr>
        <w:t>项目过程情况</w:t>
      </w:r>
      <w:bookmarkEnd w:id="109"/>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过程管理指标从资金管理、组织实施两个方面对项目进行考察，过程管理类指标分值共计24分，本项目实际得分为</w:t>
      </w:r>
      <w:r>
        <w:rPr>
          <w:rFonts w:hint="default" w:ascii="Times New Roman" w:hAnsi="Times New Roman" w:cs="Times New Roman"/>
          <w:color w:val="auto"/>
          <w:highlight w:val="none"/>
          <w:lang w:val="en-US" w:eastAsia="zh-CN"/>
        </w:rPr>
        <w:t>24</w:t>
      </w:r>
      <w:r>
        <w:rPr>
          <w:rFonts w:hint="default" w:ascii="Times New Roman" w:hAnsi="Times New Roman" w:cs="Times New Roman"/>
          <w:color w:val="auto"/>
          <w:highlight w:val="none"/>
        </w:rPr>
        <w:t>分，得分率为</w:t>
      </w:r>
      <w:r>
        <w:rPr>
          <w:rFonts w:hint="default"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。各个指标的实际得分情况见下表：</w:t>
      </w:r>
    </w:p>
    <w:p>
      <w:pPr>
        <w:pStyle w:val="24"/>
        <w:pageBreakBefore w:val="0"/>
        <w:kinsoku/>
        <w:overflowPunct/>
        <w:topLinePunct w:val="0"/>
        <w:bidi w:val="0"/>
        <w:spacing w:line="560" w:lineRule="exact"/>
        <w:ind w:firstLine="562"/>
        <w:rPr>
          <w:rFonts w:hint="default" w:ascii="Times New Roman" w:hAnsi="Times New Roman" w:eastAsia="楷体_GB2312" w:cs="Times New Roman"/>
          <w:color w:val="auto"/>
          <w:highlight w:val="none"/>
        </w:rPr>
      </w:pPr>
      <w:r>
        <w:rPr>
          <w:rFonts w:hint="default" w:ascii="Times New Roman" w:hAnsi="Times New Roman" w:cs="Times New Roman"/>
          <w:color w:val="auto"/>
          <w:sz w:val="28"/>
          <w:szCs w:val="32"/>
          <w:highlight w:val="none"/>
        </w:rPr>
        <w:t>过程管理类指标得分情况表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7"/>
        <w:gridCol w:w="1733"/>
        <w:gridCol w:w="1734"/>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评价指标</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分值</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资金到位率</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5</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5.00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预算执行率</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5</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5.00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资金使用合规性</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4</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 xml:space="preserve">4.00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管理制度健全性</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5</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rPr>
            </w:pPr>
            <w:r>
              <w:rPr>
                <w:rFonts w:hint="default" w:ascii="Times New Roman" w:hAnsi="Times New Roman" w:cs="Times New Roman"/>
                <w:color w:val="auto"/>
                <w:sz w:val="24"/>
                <w:highlight w:val="none"/>
                <w:lang w:val="en-US" w:eastAsia="zh-CN"/>
              </w:rPr>
              <w:t>5.00</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制度执行有效性</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eastAsia="zh-CN"/>
              </w:rPr>
            </w:pPr>
            <w:r>
              <w:rPr>
                <w:rFonts w:hint="default" w:ascii="Times New Roman" w:hAnsi="Times New Roman" w:cs="Times New Roman"/>
                <w:color w:val="auto"/>
                <w:sz w:val="24"/>
                <w:highlight w:val="none"/>
                <w:lang w:val="en-US" w:eastAsia="zh-CN"/>
              </w:rPr>
              <w:t>5</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5.00 </w:t>
            </w:r>
          </w:p>
        </w:tc>
        <w:tc>
          <w:tcPr>
            <w:tcW w:w="1694" w:type="dxa"/>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17"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小计</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24</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24.00</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100%</w:t>
            </w:r>
          </w:p>
        </w:tc>
      </w:tr>
    </w:tbl>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10" w:name="_Toc20265"/>
      <w:bookmarkStart w:id="111" w:name="_Toc3028"/>
      <w:bookmarkStart w:id="112" w:name="_Toc30449"/>
      <w:bookmarkStart w:id="113" w:name="_Toc16871"/>
      <w:bookmarkStart w:id="114" w:name="_Toc25103"/>
      <w:bookmarkStart w:id="115" w:name="_Toc16533"/>
      <w:bookmarkStart w:id="116" w:name="_Toc6023"/>
      <w:bookmarkStart w:id="117" w:name="_Toc30369"/>
      <w:bookmarkStart w:id="118" w:name="_Toc21911"/>
      <w:bookmarkStart w:id="119" w:name="_Toc32284"/>
      <w:r>
        <w:rPr>
          <w:rFonts w:hint="default" w:ascii="Times New Roman" w:hAnsi="Times New Roman" w:cs="Times New Roman"/>
          <w:b/>
          <w:bCs/>
          <w:color w:val="auto"/>
          <w:highlight w:val="none"/>
          <w:lang w:val="en-US" w:eastAsia="zh-CN"/>
        </w:rPr>
        <w:t>4.2.1资金到位率</w:t>
      </w:r>
      <w:bookmarkEnd w:id="110"/>
      <w:bookmarkEnd w:id="111"/>
      <w:bookmarkEnd w:id="112"/>
      <w:bookmarkEnd w:id="113"/>
      <w:bookmarkEnd w:id="114"/>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实际到位资金与预算资金的比率，用以反映和考核资金落实情况对项目实施的总体保障程度。</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资金到位率=（实际到位资金/预算资金）×100%。</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实际到位资金：一定时期（本年度或项目期）内落实到具体项目的资金。</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预算资金：一定时期（本年度或项目期）内预算安排到具体项目的资金。</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100%得满分权重分，每下降1%扣1%权重分，直至零分。</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根据</w:t>
      </w:r>
      <w:r>
        <w:rPr>
          <w:rFonts w:hint="default" w:ascii="Times New Roman" w:hAnsi="Times New Roman" w:cs="Times New Roman"/>
          <w:color w:val="auto"/>
          <w:highlight w:val="none"/>
        </w:rPr>
        <w:t>《海南省交通运输厅关于批复2023年交通运输部门预算的通知》（琼交财〔202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41</w:t>
      </w:r>
      <w:r>
        <w:rPr>
          <w:rFonts w:hint="default" w:ascii="Times New Roman" w:hAnsi="Times New Roman" w:cs="Times New Roman"/>
          <w:color w:val="auto"/>
          <w:highlight w:val="none"/>
        </w:rPr>
        <w:t>号）</w:t>
      </w:r>
      <w:r>
        <w:rPr>
          <w:rFonts w:hint="default" w:ascii="Times New Roman" w:hAnsi="Times New Roman" w:cs="Times New Roman"/>
          <w:color w:val="auto"/>
          <w:highlight w:val="none"/>
          <w:lang w:val="en-US" w:eastAsia="zh-CN"/>
        </w:rPr>
        <w:t>，共批复项目预算资金48</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929</w:t>
      </w:r>
      <w:r>
        <w:rPr>
          <w:rFonts w:hint="default" w:ascii="Times New Roman" w:hAnsi="Times New Roman" w:cs="Times New Roman"/>
          <w:color w:val="auto"/>
          <w:highlight w:val="none"/>
          <w:lang w:val="en" w:eastAsia="zh-CN"/>
        </w:rPr>
        <w:t>.00</w:t>
      </w:r>
      <w:r>
        <w:rPr>
          <w:rFonts w:hint="default" w:ascii="Times New Roman" w:hAnsi="Times New Roman" w:cs="Times New Roman"/>
          <w:color w:val="auto"/>
          <w:highlight w:val="none"/>
          <w:lang w:val="en-US" w:eastAsia="zh-CN"/>
        </w:rPr>
        <w:t>万元，实际到位资金48</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929</w:t>
      </w:r>
      <w:r>
        <w:rPr>
          <w:rFonts w:hint="default" w:ascii="Times New Roman" w:hAnsi="Times New Roman" w:cs="Times New Roman"/>
          <w:color w:val="auto"/>
          <w:highlight w:val="none"/>
          <w:lang w:val="en" w:eastAsia="zh-CN"/>
        </w:rPr>
        <w:t>.00</w:t>
      </w:r>
      <w:r>
        <w:rPr>
          <w:rFonts w:hint="default" w:ascii="Times New Roman" w:hAnsi="Times New Roman" w:cs="Times New Roman"/>
          <w:color w:val="auto"/>
          <w:highlight w:val="none"/>
          <w:lang w:val="en-US" w:eastAsia="zh-CN"/>
        </w:rPr>
        <w:t>万元，资金到位率100%，该指标得满分。</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20" w:name="_Toc27071"/>
      <w:bookmarkStart w:id="121" w:name="_Toc12215"/>
      <w:bookmarkStart w:id="122" w:name="_Toc16517"/>
      <w:bookmarkStart w:id="123" w:name="_Toc14375"/>
      <w:bookmarkStart w:id="124" w:name="_Toc14763"/>
      <w:r>
        <w:rPr>
          <w:rFonts w:hint="default" w:ascii="Times New Roman" w:hAnsi="Times New Roman" w:cs="Times New Roman"/>
          <w:b/>
          <w:bCs/>
          <w:color w:val="auto"/>
          <w:highlight w:val="none"/>
          <w:lang w:val="en-US" w:eastAsia="zh-CN"/>
        </w:rPr>
        <w:t>4.2.2预算执行率</w:t>
      </w:r>
      <w:bookmarkEnd w:id="120"/>
      <w:bookmarkEnd w:id="121"/>
      <w:bookmarkEnd w:id="122"/>
      <w:bookmarkEnd w:id="123"/>
      <w:bookmarkEnd w:id="124"/>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项目预算资金是否按照计划执行，用以反映或考核项目预算执行情况。</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预算执行率=（实际支出资金/实际到位资金）×100%。</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实际支出资金：一定时期（本年度或项目期）内项目实际拨付的资金。</w:t>
      </w:r>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100%得满分权重分，每下降1%扣1%权重分，直至零分。</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9"/>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根据相关材料，2023年高速公路建设偿债项目实际到位资金48</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929</w:t>
      </w:r>
      <w:r>
        <w:rPr>
          <w:rFonts w:hint="default" w:ascii="Times New Roman" w:hAnsi="Times New Roman" w:cs="Times New Roman"/>
          <w:color w:val="auto"/>
          <w:highlight w:val="none"/>
          <w:lang w:val="en" w:eastAsia="zh-CN"/>
        </w:rPr>
        <w:t>.00</w:t>
      </w:r>
      <w:r>
        <w:rPr>
          <w:rFonts w:hint="default" w:ascii="Times New Roman" w:hAnsi="Times New Roman" w:cs="Times New Roman"/>
          <w:color w:val="auto"/>
          <w:highlight w:val="none"/>
          <w:lang w:val="en-US" w:eastAsia="zh-CN"/>
        </w:rPr>
        <w:t>万元，2023年实际支出48</w:t>
      </w:r>
      <w:r>
        <w:rPr>
          <w:rFonts w:hint="default" w:ascii="Times New Roman" w:hAnsi="Times New Roman" w:cs="Times New Roman"/>
          <w:color w:val="auto"/>
          <w:highlight w:val="none"/>
          <w:lang w:val="en" w:eastAsia="zh-CN"/>
        </w:rPr>
        <w:t>,</w:t>
      </w:r>
      <w:r>
        <w:rPr>
          <w:rFonts w:hint="default" w:ascii="Times New Roman" w:hAnsi="Times New Roman" w:cs="Times New Roman"/>
          <w:color w:val="auto"/>
          <w:highlight w:val="none"/>
          <w:lang w:val="en-US" w:eastAsia="zh-CN"/>
        </w:rPr>
        <w:t>929</w:t>
      </w:r>
      <w:r>
        <w:rPr>
          <w:rFonts w:hint="default" w:ascii="Times New Roman" w:hAnsi="Times New Roman" w:cs="Times New Roman"/>
          <w:color w:val="auto"/>
          <w:highlight w:val="none"/>
          <w:lang w:val="en" w:eastAsia="zh-CN"/>
        </w:rPr>
        <w:t>.00</w:t>
      </w:r>
      <w:r>
        <w:rPr>
          <w:rFonts w:hint="default" w:ascii="Times New Roman" w:hAnsi="Times New Roman" w:cs="Times New Roman"/>
          <w:color w:val="auto"/>
          <w:highlight w:val="none"/>
          <w:lang w:val="en-US" w:eastAsia="zh-CN"/>
        </w:rPr>
        <w:t>万元，预算执行率100.00%。该指标得满分。具体支出见下表：</w:t>
      </w:r>
    </w:p>
    <w:p>
      <w:pPr>
        <w:pStyle w:val="1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cs="Times New Roman"/>
          <w:b/>
          <w:bCs/>
          <w:color w:val="auto"/>
          <w:sz w:val="28"/>
          <w:szCs w:val="22"/>
          <w:highlight w:val="none"/>
          <w:lang w:val="en-US" w:eastAsia="zh-CN"/>
        </w:rPr>
      </w:pPr>
      <w:r>
        <w:rPr>
          <w:rFonts w:hint="default" w:ascii="Times New Roman" w:hAnsi="Times New Roman" w:cs="Times New Roman"/>
          <w:b/>
          <w:bCs/>
          <w:color w:val="auto"/>
          <w:sz w:val="28"/>
          <w:szCs w:val="22"/>
          <w:highlight w:val="none"/>
          <w:lang w:val="en-US" w:eastAsia="zh-CN"/>
        </w:rPr>
        <w:t>高速公路建设偿债资金支出情况表</w:t>
      </w:r>
    </w:p>
    <w:p>
      <w:pPr>
        <w:pStyle w:val="16"/>
        <w:pageBreakBefore w:val="0"/>
        <w:kinsoku/>
        <w:wordWrap/>
        <w:overflowPunct/>
        <w:topLinePunct w:val="0"/>
        <w:bidi w:val="0"/>
        <w:spacing w:line="560" w:lineRule="exact"/>
        <w:ind w:left="0" w:leftChars="0" w:firstLine="480" w:firstLineChars="200"/>
        <w:jc w:val="right"/>
        <w:rPr>
          <w:rFonts w:hint="default" w:ascii="Times New Roman" w:hAnsi="Times New Roman" w:cs="Times New Roman"/>
          <w:color w:val="auto"/>
          <w:sz w:val="24"/>
          <w:szCs w:val="24"/>
          <w:highlight w:val="none"/>
          <w:lang w:val="en-US" w:eastAsia="zh-CN"/>
        </w:rPr>
      </w:pPr>
      <w:r>
        <w:rPr>
          <w:rFonts w:hint="eastAsia" w:cs="Times New Roman"/>
          <w:color w:val="auto"/>
          <w:sz w:val="24"/>
          <w:szCs w:val="24"/>
          <w:highlight w:val="none"/>
          <w:lang w:val="en-US" w:eastAsia="zh-CN"/>
        </w:rPr>
        <w:t>金额</w:t>
      </w:r>
      <w:r>
        <w:rPr>
          <w:rFonts w:hint="default" w:ascii="Times New Roman" w:hAnsi="Times New Roman" w:cs="Times New Roman"/>
          <w:color w:val="auto"/>
          <w:sz w:val="24"/>
          <w:szCs w:val="24"/>
          <w:highlight w:val="none"/>
          <w:lang w:val="en-US" w:eastAsia="zh-CN"/>
        </w:rPr>
        <w:t>单位：元</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0"/>
        <w:gridCol w:w="1344"/>
        <w:gridCol w:w="2176"/>
        <w:gridCol w:w="2176"/>
        <w:gridCol w:w="21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8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序号</w:t>
            </w:r>
          </w:p>
        </w:tc>
        <w:tc>
          <w:tcPr>
            <w:tcW w:w="77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季度</w:t>
            </w:r>
          </w:p>
        </w:tc>
        <w:tc>
          <w:tcPr>
            <w:tcW w:w="374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支出金额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8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i w:val="0"/>
                <w:iCs w:val="0"/>
                <w:color w:val="auto"/>
                <w:sz w:val="24"/>
                <w:szCs w:val="24"/>
                <w:highlight w:val="none"/>
                <w:u w:val="none"/>
              </w:rPr>
            </w:pPr>
          </w:p>
        </w:tc>
        <w:tc>
          <w:tcPr>
            <w:tcW w:w="77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i w:val="0"/>
                <w:iCs w:val="0"/>
                <w:color w:val="auto"/>
                <w:sz w:val="24"/>
                <w:szCs w:val="24"/>
                <w:highlight w:val="none"/>
                <w:u w:val="none"/>
              </w:rPr>
            </w:pPr>
          </w:p>
        </w:tc>
        <w:tc>
          <w:tcPr>
            <w:tcW w:w="1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本金</w:t>
            </w:r>
          </w:p>
        </w:tc>
        <w:tc>
          <w:tcPr>
            <w:tcW w:w="1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利息</w:t>
            </w:r>
          </w:p>
        </w:tc>
        <w:tc>
          <w:tcPr>
            <w:tcW w:w="12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1</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第一季度</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5,024,016.63</w:t>
            </w:r>
          </w:p>
        </w:tc>
        <w:tc>
          <w:tcPr>
            <w:tcW w:w="1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34,529,326.80</w:t>
            </w:r>
          </w:p>
        </w:tc>
        <w:tc>
          <w:tcPr>
            <w:tcW w:w="12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39,553,343.43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2</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第二季度</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193,300,000.00</w:t>
            </w:r>
          </w:p>
        </w:tc>
        <w:tc>
          <w:tcPr>
            <w:tcW w:w="1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43,126,891.14</w:t>
            </w:r>
          </w:p>
        </w:tc>
        <w:tc>
          <w:tcPr>
            <w:tcW w:w="12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236,426,891.14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3</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第三季度</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55,024,016.63</w:t>
            </w:r>
          </w:p>
        </w:tc>
        <w:tc>
          <w:tcPr>
            <w:tcW w:w="1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32,731,487.72</w:t>
            </w:r>
          </w:p>
        </w:tc>
        <w:tc>
          <w:tcPr>
            <w:tcW w:w="12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87,755,504.35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4</w:t>
            </w:r>
          </w:p>
        </w:tc>
        <w:tc>
          <w:tcPr>
            <w:tcW w:w="7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第四季度</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68,100,000.00 </w:t>
            </w:r>
          </w:p>
        </w:tc>
        <w:tc>
          <w:tcPr>
            <w:tcW w:w="2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57,454,261.08 </w:t>
            </w: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125,554,261.08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125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合计</w:t>
            </w:r>
          </w:p>
        </w:tc>
        <w:tc>
          <w:tcPr>
            <w:tcW w:w="2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321,448,033.26 </w:t>
            </w:r>
          </w:p>
        </w:tc>
        <w:tc>
          <w:tcPr>
            <w:tcW w:w="2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167,841,966.74 </w:t>
            </w:r>
          </w:p>
        </w:tc>
        <w:tc>
          <w:tcPr>
            <w:tcW w:w="21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489,290,000.00 </w:t>
            </w:r>
          </w:p>
        </w:tc>
      </w:tr>
    </w:tbl>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4.2.3资金使用合规性</w:t>
      </w:r>
      <w:bookmarkEnd w:id="115"/>
      <w:bookmarkEnd w:id="116"/>
      <w:bookmarkEnd w:id="117"/>
      <w:bookmarkEnd w:id="118"/>
      <w:bookmarkEnd w:id="119"/>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项目资金使用是否符合相关的财务管理制度规定，用以反映和考核项目资金的规范运行情况。</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条件④不满足，本指标不得分；条件④满足，其余三项每满足1项得1/3权重分。</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根据部门提供的项目支出相关材料，项目资金主要用于高速公路建设偿债的还本及付息，四个季度均有资金拨付请示，符合《海南省交通运输厅机关经费支出管理规定》。项目资金使用符合部门财务管理制度规定，资金拨付有完整的审批程序，资金支出范围符合项目预算批复的用途，未发现残留、挤占、挪用、虚列支出等情况。该指标得满分。</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25" w:name="_Toc30191"/>
      <w:bookmarkStart w:id="126" w:name="_Toc12508"/>
      <w:bookmarkStart w:id="127" w:name="_Toc11394"/>
      <w:bookmarkStart w:id="128" w:name="_Toc15317"/>
      <w:bookmarkStart w:id="129" w:name="_Toc19642"/>
      <w:r>
        <w:rPr>
          <w:rFonts w:hint="default" w:ascii="Times New Roman" w:hAnsi="Times New Roman" w:cs="Times New Roman"/>
          <w:b/>
          <w:bCs/>
          <w:color w:val="auto"/>
          <w:highlight w:val="none"/>
          <w:lang w:val="en-US" w:eastAsia="zh-CN"/>
        </w:rPr>
        <w:t>4.2.4管理制度健全性</w:t>
      </w:r>
      <w:bookmarkEnd w:id="125"/>
      <w:bookmarkEnd w:id="126"/>
      <w:bookmarkEnd w:id="127"/>
      <w:bookmarkEnd w:id="128"/>
      <w:bookmarkEnd w:id="129"/>
    </w:p>
    <w:p>
      <w:pPr>
        <w:pageBreakBefore w:val="0"/>
        <w:kinsoku/>
        <w:overflowPunct/>
        <w:topLinePunct w:val="0"/>
        <w:bidi w:val="0"/>
        <w:spacing w:line="560" w:lineRule="exact"/>
        <w:ind w:firstLine="643"/>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项目实施单位的财务和业务管理制度是否健全，用以反映和考核财务和业务管理制度对项目顺利实施的保障情况。</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eastAsia="仿宋_GB2312" w:cs="Times New Roman"/>
          <w:color w:val="auto"/>
          <w:kern w:val="2"/>
          <w:sz w:val="32"/>
          <w:szCs w:val="24"/>
          <w:highlight w:val="none"/>
          <w:lang w:val="en-US" w:eastAsia="zh-CN" w:bidi="ar-SA"/>
        </w:rPr>
        <w:t>①是否已制定或具有相应的财务和业务管理制度；②财务和业务管理制度是否合法、合规、完整。</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eastAsia="仿宋_GB2312" w:cs="Times New Roman"/>
          <w:color w:val="auto"/>
          <w:kern w:val="2"/>
          <w:sz w:val="32"/>
          <w:szCs w:val="24"/>
          <w:highlight w:val="none"/>
          <w:lang w:val="en-US" w:eastAsia="zh-CN" w:bidi="ar-SA"/>
        </w:rPr>
        <w:t>满足一项得50%权重分。</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部门制定了《海南省交通运输厅机关经费支出管理规定》的财务管理制度，财务管理制度合法、合规、完整。管理制度健全，该指标得满分。</w:t>
      </w:r>
    </w:p>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30" w:name="_Toc9694"/>
      <w:bookmarkStart w:id="131" w:name="_Toc25282"/>
      <w:bookmarkStart w:id="132" w:name="_Toc3857"/>
      <w:bookmarkStart w:id="133" w:name="_Toc24989"/>
      <w:bookmarkStart w:id="134" w:name="_Toc27393"/>
      <w:r>
        <w:rPr>
          <w:rFonts w:hint="default" w:ascii="Times New Roman" w:hAnsi="Times New Roman" w:cs="Times New Roman"/>
          <w:b/>
          <w:bCs/>
          <w:color w:val="auto"/>
          <w:highlight w:val="none"/>
          <w:lang w:val="en-US" w:eastAsia="zh-CN"/>
        </w:rPr>
        <w:t>4.2.5制度执行有效性</w:t>
      </w:r>
      <w:bookmarkEnd w:id="130"/>
      <w:bookmarkEnd w:id="131"/>
      <w:bookmarkEnd w:id="132"/>
      <w:bookmarkEnd w:id="133"/>
      <w:bookmarkEnd w:id="134"/>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eastAsia="仿宋_GB2312" w:cs="Times New Roman"/>
          <w:color w:val="auto"/>
          <w:kern w:val="2"/>
          <w:sz w:val="32"/>
          <w:szCs w:val="24"/>
          <w:highlight w:val="none"/>
          <w:lang w:val="en-US" w:eastAsia="zh-CN" w:bidi="ar-SA"/>
        </w:rPr>
        <w:t>项目实施是否符合相关管理规定，用以反映和考核相关管理制度的有效执行情况。</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cs="Times New Roman"/>
          <w:color w:val="auto"/>
          <w:highlight w:val="none"/>
        </w:rPr>
        <w:t>①是否遵守相关法律法规和相关管理规定；②项目调整及支出调整手续是否完备；③项目合同书、验收报告、技术鉴定等资料是否齐全并及时归档；④项目实施的人员条件、场地设备、信息支撑等是否落实到位。</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评分标准：</w:t>
      </w:r>
      <w:r>
        <w:rPr>
          <w:rFonts w:hint="default" w:ascii="Times New Roman" w:hAnsi="Times New Roman" w:cs="Times New Roman"/>
          <w:color w:val="auto"/>
          <w:highlight w:val="none"/>
          <w:lang w:val="en-US" w:eastAsia="zh-CN"/>
        </w:rPr>
        <w:t>满足一项得25%权重分。</w:t>
      </w:r>
    </w:p>
    <w:p>
      <w:pPr>
        <w:pStyle w:val="16"/>
        <w:pageBreakBefore w:val="0"/>
        <w:kinsoku/>
        <w:overflowPunct/>
        <w:topLinePunct w:val="0"/>
        <w:bidi w:val="0"/>
        <w:spacing w:line="560" w:lineRule="exact"/>
        <w:ind w:left="0" w:leftChars="0" w:firstLine="642" w:firstLineChars="200"/>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根据部门所提供的项目支出明等相关材料，项目按照规定时间及应付金额进行本息偿债支付，项目支出有完整的审批手续和程序，项目实施遵守相关管理规定，制度执行有效，该指标得满分。</w:t>
      </w:r>
    </w:p>
    <w:p>
      <w:pPr>
        <w:pStyle w:val="7"/>
        <w:pageBreakBefore w:val="0"/>
        <w:numPr>
          <w:ilvl w:val="0"/>
          <w:numId w:val="3"/>
        </w:numPr>
        <w:kinsoku/>
        <w:overflowPunct/>
        <w:topLinePunct w:val="0"/>
        <w:bidi w:val="0"/>
        <w:spacing w:line="560" w:lineRule="exact"/>
        <w:outlineLvl w:val="1"/>
        <w:rPr>
          <w:rFonts w:hint="default" w:ascii="Times New Roman" w:hAnsi="Times New Roman" w:eastAsia="楷体_GB2312" w:cs="Times New Roman"/>
          <w:color w:val="auto"/>
          <w:highlight w:val="none"/>
        </w:rPr>
      </w:pPr>
      <w:bookmarkStart w:id="135" w:name="_Toc29936"/>
      <w:r>
        <w:rPr>
          <w:rFonts w:hint="default" w:ascii="Times New Roman" w:hAnsi="Times New Roman" w:eastAsia="楷体_GB2312" w:cs="Times New Roman"/>
          <w:color w:val="auto"/>
          <w:highlight w:val="none"/>
        </w:rPr>
        <w:t>项目产出情况</w:t>
      </w:r>
      <w:bookmarkEnd w:id="135"/>
    </w:p>
    <w:p>
      <w:pPr>
        <w:pageBreakBefore w:val="0"/>
        <w:kinsoku/>
        <w:overflowPunct/>
        <w:topLinePunct w:val="0"/>
        <w:bidi w:val="0"/>
        <w:spacing w:line="56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项目产出指标从产出数量、产出时效</w:t>
      </w:r>
      <w:r>
        <w:rPr>
          <w:rFonts w:hint="default" w:ascii="Times New Roman" w:hAnsi="Times New Roman" w:cs="Times New Roman"/>
          <w:color w:val="auto"/>
          <w:highlight w:val="none"/>
          <w:lang w:val="en-US" w:eastAsia="zh-CN"/>
        </w:rPr>
        <w:t>两</w:t>
      </w:r>
      <w:r>
        <w:rPr>
          <w:rFonts w:hint="default" w:ascii="Times New Roman" w:hAnsi="Times New Roman" w:cs="Times New Roman"/>
          <w:color w:val="auto"/>
          <w:highlight w:val="none"/>
        </w:rPr>
        <w:t>个方面对项目进行考察，产出类指标分值共计</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0分。本项目实际得分为</w:t>
      </w:r>
      <w:r>
        <w:rPr>
          <w:rFonts w:hint="default" w:ascii="Times New Roman" w:hAnsi="Times New Roman" w:cs="Times New Roman"/>
          <w:color w:val="auto"/>
          <w:highlight w:val="none"/>
          <w:lang w:val="en-US" w:eastAsia="zh-CN"/>
        </w:rPr>
        <w:t>40</w:t>
      </w:r>
      <w:r>
        <w:rPr>
          <w:rFonts w:hint="default" w:ascii="Times New Roman" w:hAnsi="Times New Roman" w:cs="Times New Roman"/>
          <w:color w:val="auto"/>
          <w:highlight w:val="none"/>
        </w:rPr>
        <w:t>分，得分率为</w:t>
      </w:r>
      <w:r>
        <w:rPr>
          <w:rFonts w:hint="default"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。各个指标的实际得分情况见下表</w:t>
      </w:r>
      <w:r>
        <w:rPr>
          <w:rFonts w:hint="default" w:ascii="Times New Roman" w:hAnsi="Times New Roman" w:cs="Times New Roman"/>
          <w:color w:val="auto"/>
          <w:highlight w:val="none"/>
          <w:lang w:eastAsia="zh-Hans"/>
        </w:rPr>
        <w:t>：</w:t>
      </w:r>
    </w:p>
    <w:p>
      <w:pPr>
        <w:pStyle w:val="24"/>
        <w:pageBreakBefore w:val="0"/>
        <w:kinsoku/>
        <w:overflowPunct/>
        <w:topLinePunct w:val="0"/>
        <w:bidi w:val="0"/>
        <w:spacing w:line="560" w:lineRule="exact"/>
        <w:ind w:firstLine="562"/>
        <w:rPr>
          <w:rFonts w:hint="default" w:ascii="Times New Roman" w:hAnsi="Times New Roman" w:cs="Times New Roman"/>
          <w:color w:val="auto"/>
          <w:sz w:val="28"/>
          <w:szCs w:val="32"/>
          <w:highlight w:val="none"/>
        </w:rPr>
      </w:pPr>
      <w:r>
        <w:rPr>
          <w:rFonts w:hint="default" w:ascii="Times New Roman" w:hAnsi="Times New Roman" w:cs="Times New Roman"/>
          <w:color w:val="auto"/>
          <w:sz w:val="28"/>
          <w:szCs w:val="32"/>
          <w:highlight w:val="none"/>
          <w:lang w:eastAsia="zh-Hans"/>
        </w:rPr>
        <w:t>产出</w:t>
      </w:r>
      <w:r>
        <w:rPr>
          <w:rFonts w:hint="default" w:ascii="Times New Roman" w:hAnsi="Times New Roman" w:cs="Times New Roman"/>
          <w:color w:val="auto"/>
          <w:sz w:val="28"/>
          <w:szCs w:val="32"/>
          <w:highlight w:val="none"/>
        </w:rPr>
        <w:t>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34"/>
        <w:gridCol w:w="1116"/>
        <w:gridCol w:w="1734"/>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370"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评价指标</w:t>
            </w:r>
          </w:p>
        </w:tc>
        <w:tc>
          <w:tcPr>
            <w:tcW w:w="640"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分值</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2370"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还本付息完成率</w:t>
            </w:r>
          </w:p>
        </w:tc>
        <w:tc>
          <w:tcPr>
            <w:tcW w:w="640"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20</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cs="Times New Roman"/>
                <w:color w:val="auto"/>
                <w:sz w:val="24"/>
                <w:highlight w:val="none"/>
                <w:lang w:val="en-US" w:eastAsia="zh-CN"/>
              </w:rPr>
              <w:t>20.00</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70"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按期偿债及时率</w:t>
            </w:r>
          </w:p>
        </w:tc>
        <w:tc>
          <w:tcPr>
            <w:tcW w:w="640"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20</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cs="Times New Roman"/>
                <w:color w:val="auto"/>
                <w:sz w:val="24"/>
                <w:highlight w:val="none"/>
                <w:lang w:val="en-US" w:eastAsia="zh-CN"/>
              </w:rPr>
              <w:t>20.00</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370"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小计</w:t>
            </w:r>
          </w:p>
        </w:tc>
        <w:tc>
          <w:tcPr>
            <w:tcW w:w="640"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lang w:val="en-US" w:eastAsia="zh-CN"/>
              </w:rPr>
              <w:t>4</w:t>
            </w:r>
            <w:r>
              <w:rPr>
                <w:rFonts w:hint="default" w:ascii="Times New Roman" w:hAnsi="Times New Roman" w:cs="Times New Roman"/>
                <w:b/>
                <w:bCs/>
                <w:color w:val="auto"/>
                <w:sz w:val="24"/>
                <w:highlight w:val="none"/>
              </w:rPr>
              <w:t>0</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b/>
                <w:bCs/>
                <w:color w:val="auto"/>
                <w:kern w:val="2"/>
                <w:sz w:val="24"/>
                <w:szCs w:val="24"/>
                <w:highlight w:val="none"/>
                <w:lang w:val="en-US" w:eastAsia="zh-CN" w:bidi="ar-SA"/>
              </w:rPr>
            </w:pPr>
            <w:r>
              <w:rPr>
                <w:rFonts w:hint="default" w:ascii="Times New Roman" w:hAnsi="Times New Roman" w:cs="Times New Roman"/>
                <w:b/>
                <w:bCs/>
                <w:color w:val="auto"/>
                <w:sz w:val="24"/>
                <w:highlight w:val="none"/>
                <w:lang w:val="en-US" w:eastAsia="zh-CN"/>
              </w:rPr>
              <w:t>4</w:t>
            </w:r>
            <w:r>
              <w:rPr>
                <w:rFonts w:hint="default" w:ascii="Times New Roman" w:hAnsi="Times New Roman" w:cs="Times New Roman"/>
                <w:b/>
                <w:bCs/>
                <w:color w:val="auto"/>
                <w:sz w:val="24"/>
                <w:highlight w:val="none"/>
              </w:rPr>
              <w:t>0</w:t>
            </w:r>
            <w:r>
              <w:rPr>
                <w:rFonts w:hint="default" w:ascii="Times New Roman" w:hAnsi="Times New Roman" w:cs="Times New Roman"/>
                <w:b/>
                <w:bCs/>
                <w:color w:val="auto"/>
                <w:sz w:val="24"/>
                <w:highlight w:val="none"/>
                <w:lang w:val="en-US" w:eastAsia="zh-CN"/>
              </w:rPr>
              <w:t>.00</w:t>
            </w:r>
          </w:p>
        </w:tc>
        <w:tc>
          <w:tcPr>
            <w:tcW w:w="994"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color w:val="auto"/>
                <w:sz w:val="24"/>
                <w:highlight w:val="none"/>
                <w:lang w:val="en-US" w:eastAsia="zh-CN"/>
              </w:rPr>
            </w:pPr>
            <w:r>
              <w:rPr>
                <w:rFonts w:hint="default" w:ascii="Times New Roman" w:hAnsi="Times New Roman" w:cs="Times New Roman"/>
                <w:b/>
                <w:bCs/>
                <w:color w:val="auto"/>
                <w:sz w:val="24"/>
                <w:highlight w:val="none"/>
                <w:lang w:val="en-US" w:eastAsia="zh-CN"/>
              </w:rPr>
              <w:t>100.00%</w:t>
            </w:r>
          </w:p>
        </w:tc>
      </w:tr>
    </w:tbl>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36" w:name="_Toc17704"/>
      <w:bookmarkStart w:id="137" w:name="_Toc15262"/>
      <w:bookmarkStart w:id="138" w:name="_Toc11929"/>
      <w:bookmarkStart w:id="139" w:name="_Toc16629"/>
      <w:bookmarkStart w:id="140" w:name="_Toc11724"/>
      <w:r>
        <w:rPr>
          <w:rFonts w:hint="default" w:ascii="Times New Roman" w:hAnsi="Times New Roman" w:cs="Times New Roman"/>
          <w:b/>
          <w:bCs/>
          <w:color w:val="auto"/>
          <w:highlight w:val="none"/>
          <w:lang w:val="en-US" w:eastAsia="zh-CN"/>
        </w:rPr>
        <w:t>4.3.1</w:t>
      </w:r>
      <w:bookmarkEnd w:id="136"/>
      <w:bookmarkEnd w:id="137"/>
      <w:bookmarkEnd w:id="138"/>
      <w:r>
        <w:rPr>
          <w:rFonts w:hint="default" w:ascii="Times New Roman" w:hAnsi="Times New Roman" w:cs="Times New Roman"/>
          <w:b/>
          <w:bCs/>
          <w:color w:val="auto"/>
          <w:highlight w:val="none"/>
        </w:rPr>
        <w:t>还本付息完成率</w:t>
      </w:r>
      <w:bookmarkEnd w:id="139"/>
      <w:bookmarkEnd w:id="140"/>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lang w:val="en-US" w:eastAsia="zh-CN"/>
        </w:rPr>
        <w:t>指标解释：</w:t>
      </w:r>
      <w:r>
        <w:rPr>
          <w:rFonts w:hint="default" w:ascii="Times New Roman" w:hAnsi="Times New Roman" w:cs="Times New Roman"/>
          <w:color w:val="auto"/>
          <w:highlight w:val="none"/>
          <w:lang w:val="en-US" w:eastAsia="zh-CN"/>
        </w:rPr>
        <w:t>考察还本付息完成率。</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rPr>
        <w:t>评价要点：</w:t>
      </w:r>
      <w:r>
        <w:rPr>
          <w:rFonts w:hint="default" w:ascii="Times New Roman" w:hAnsi="Times New Roman" w:cs="Times New Roman"/>
          <w:color w:val="auto"/>
          <w:highlight w:val="none"/>
        </w:rPr>
        <w:t>业绩值=还本付息完成数量/还本付息总数*100%。</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评分标准：</w:t>
      </w:r>
      <w:r>
        <w:rPr>
          <w:rFonts w:hint="default" w:ascii="Times New Roman" w:hAnsi="Times New Roman" w:cs="Times New Roman"/>
          <w:color w:val="auto"/>
          <w:highlight w:val="none"/>
          <w:lang w:val="en-US" w:eastAsia="zh-CN"/>
        </w:rPr>
        <w:t>≥95%得满分权重分，每下降1%扣1%权重分，直至零分。</w:t>
      </w:r>
    </w:p>
    <w:p>
      <w:pPr>
        <w:pStyle w:val="16"/>
        <w:pageBreakBefore w:val="0"/>
        <w:kinsoku/>
        <w:overflowPunct/>
        <w:topLinePunct w:val="0"/>
        <w:bidi w:val="0"/>
        <w:spacing w:line="560" w:lineRule="exact"/>
        <w:ind w:left="0" w:leftChars="0" w:firstLine="642" w:firstLineChars="200"/>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根据项目支出明细、海南省交通投资控股有限公司四</w:t>
      </w:r>
      <w:r>
        <w:rPr>
          <w:rFonts w:hint="default" w:ascii="Times New Roman" w:hAnsi="Times New Roman" w:eastAsia="仿宋_GB2312" w:cs="Times New Roman"/>
          <w:b w:val="0"/>
          <w:bCs w:val="0"/>
          <w:color w:val="auto"/>
          <w:kern w:val="2"/>
          <w:sz w:val="32"/>
          <w:szCs w:val="24"/>
          <w:highlight w:val="none"/>
          <w:lang w:val="en-US" w:eastAsia="zh-CN" w:bidi="ar-SA"/>
        </w:rPr>
        <w:t>个季度偿债资金的请示，</w:t>
      </w:r>
      <w:r>
        <w:rPr>
          <w:rFonts w:hint="default" w:ascii="Times New Roman" w:hAnsi="Times New Roman" w:cs="Times New Roman"/>
          <w:b w:val="0"/>
          <w:bCs w:val="0"/>
          <w:color w:val="auto"/>
          <w:highlight w:val="none"/>
          <w:lang w:val="en-US" w:eastAsia="zh-CN"/>
        </w:rPr>
        <w:t>2023年高速公路建设</w:t>
      </w:r>
      <w:r>
        <w:rPr>
          <w:rFonts w:hint="eastAsia" w:cs="Times New Roman"/>
          <w:b w:val="0"/>
          <w:bCs w:val="0"/>
          <w:color w:val="auto"/>
          <w:highlight w:val="none"/>
          <w:lang w:val="en-US" w:eastAsia="zh-CN"/>
        </w:rPr>
        <w:t>项目</w:t>
      </w:r>
      <w:r>
        <w:rPr>
          <w:rFonts w:hint="default" w:ascii="Times New Roman" w:hAnsi="Times New Roman" w:cs="Times New Roman"/>
          <w:b w:val="0"/>
          <w:bCs w:val="0"/>
          <w:color w:val="auto"/>
          <w:highlight w:val="none"/>
          <w:lang w:val="en-US" w:eastAsia="zh-CN"/>
        </w:rPr>
        <w:t>需偿还489,290,000.00元，其中本金321,448,100.00元、利息167,841,900.00元。</w:t>
      </w:r>
    </w:p>
    <w:p>
      <w:pPr>
        <w:pStyle w:val="16"/>
        <w:pageBreakBefore w:val="0"/>
        <w:numPr>
          <w:ilvl w:val="0"/>
          <w:numId w:val="4"/>
        </w:numPr>
        <w:kinsoku/>
        <w:overflowPunct/>
        <w:topLinePunct w:val="0"/>
        <w:bidi w:val="0"/>
        <w:spacing w:line="560" w:lineRule="exact"/>
        <w:ind w:left="0" w:leftChars="0" w:firstLine="640" w:firstLineChars="200"/>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第一季度高速公路建设需偿还本息</w:t>
      </w:r>
      <w:r>
        <w:rPr>
          <w:rFonts w:hint="default" w:ascii="Times New Roman" w:hAnsi="Times New Roman" w:cs="Times New Roman"/>
          <w:color w:val="auto"/>
          <w:kern w:val="2"/>
          <w:sz w:val="32"/>
          <w:szCs w:val="24"/>
          <w:highlight w:val="none"/>
          <w:lang w:val="en-US" w:eastAsia="zh-CN" w:bidi="ar-SA"/>
        </w:rPr>
        <w:t>39</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553</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343</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43</w:t>
      </w:r>
      <w:r>
        <w:rPr>
          <w:rFonts w:hint="default" w:ascii="Times New Roman" w:hAnsi="Times New Roman" w:eastAsia="仿宋_GB2312" w:cs="Times New Roman"/>
          <w:color w:val="auto"/>
          <w:kern w:val="2"/>
          <w:sz w:val="32"/>
          <w:szCs w:val="24"/>
          <w:highlight w:val="none"/>
          <w:lang w:val="en-US" w:eastAsia="zh-CN" w:bidi="ar-SA"/>
        </w:rPr>
        <w:t>元</w:t>
      </w:r>
      <w:r>
        <w:rPr>
          <w:rFonts w:hint="eastAsia"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均已完成支付。其中用于偿还东线高速日元贷款（C21）本金5</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024</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016.63元，</w:t>
      </w:r>
      <w:r>
        <w:rPr>
          <w:rFonts w:hint="eastAsia" w:ascii="Times New Roman" w:hAnsi="Times New Roman" w:cs="Times New Roman"/>
          <w:color w:val="auto"/>
          <w:kern w:val="2"/>
          <w:sz w:val="32"/>
          <w:szCs w:val="24"/>
          <w:highlight w:val="none"/>
          <w:lang w:val="en-US" w:eastAsia="zh-CN" w:bidi="ar-SA"/>
        </w:rPr>
        <w:t>支付</w:t>
      </w:r>
      <w:r>
        <w:rPr>
          <w:rFonts w:hint="default" w:ascii="Times New Roman" w:hAnsi="Times New Roman" w:eastAsia="仿宋_GB2312" w:cs="Times New Roman"/>
          <w:color w:val="auto"/>
          <w:kern w:val="2"/>
          <w:sz w:val="32"/>
          <w:szCs w:val="24"/>
          <w:highlight w:val="none"/>
          <w:lang w:val="en-US" w:eastAsia="zh-CN" w:bidi="ar-SA"/>
        </w:rPr>
        <w:t>海南中线屯昌至琼中段、环岛高速公路改造工程九所至八所及邦溪至白马井段等项目利息3</w:t>
      </w:r>
      <w:r>
        <w:rPr>
          <w:rFonts w:hint="default" w:ascii="Times New Roman" w:hAnsi="Times New Roman" w:cs="Times New Roman"/>
          <w:color w:val="auto"/>
          <w:kern w:val="2"/>
          <w:sz w:val="32"/>
          <w:szCs w:val="24"/>
          <w:highlight w:val="none"/>
          <w:lang w:val="en-US" w:eastAsia="zh-CN" w:bidi="ar-SA"/>
        </w:rPr>
        <w:t>4</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529</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326</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80</w:t>
      </w:r>
      <w:r>
        <w:rPr>
          <w:rFonts w:hint="default" w:ascii="Times New Roman" w:hAnsi="Times New Roman" w:eastAsia="仿宋_GB2312" w:cs="Times New Roman"/>
          <w:color w:val="auto"/>
          <w:kern w:val="2"/>
          <w:sz w:val="32"/>
          <w:szCs w:val="24"/>
          <w:highlight w:val="none"/>
          <w:lang w:val="en-US" w:eastAsia="zh-CN" w:bidi="ar-SA"/>
        </w:rPr>
        <w:t>元。</w:t>
      </w:r>
      <w:r>
        <w:rPr>
          <w:rFonts w:hint="default" w:ascii="Times New Roman" w:hAnsi="Times New Roman" w:cs="Times New Roman"/>
          <w:color w:val="auto"/>
          <w:kern w:val="2"/>
          <w:sz w:val="32"/>
          <w:szCs w:val="24"/>
          <w:highlight w:val="none"/>
          <w:lang w:val="en-US" w:eastAsia="zh-CN" w:bidi="ar-SA"/>
        </w:rPr>
        <w:t>具体如下表：</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Times New Roman" w:hAnsi="Times New Roman" w:cs="Times New Roman"/>
          <w:b/>
          <w:bCs/>
          <w:color w:val="auto"/>
          <w:kern w:val="2"/>
          <w:sz w:val="28"/>
          <w:szCs w:val="28"/>
          <w:highlight w:val="none"/>
          <w:lang w:val="en-US" w:eastAsia="zh-CN" w:bidi="ar-SA"/>
        </w:rPr>
      </w:pPr>
      <w:r>
        <w:rPr>
          <w:rFonts w:hint="default" w:ascii="Times New Roman" w:hAnsi="Times New Roman" w:cs="Times New Roman"/>
          <w:b/>
          <w:bCs/>
          <w:color w:val="auto"/>
          <w:kern w:val="2"/>
          <w:sz w:val="28"/>
          <w:szCs w:val="28"/>
          <w:highlight w:val="none"/>
          <w:lang w:val="en-US" w:eastAsia="zh-CN" w:bidi="ar-SA"/>
        </w:rPr>
        <w:t>高速公路建设偿债第一季度还本付息情况表</w:t>
      </w:r>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7"/>
        <w:gridCol w:w="3749"/>
        <w:gridCol w:w="1267"/>
        <w:gridCol w:w="1440"/>
        <w:gridCol w:w="16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blHead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序号</w:t>
            </w:r>
          </w:p>
        </w:tc>
        <w:tc>
          <w:tcPr>
            <w:tcW w:w="37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项目名称</w:t>
            </w:r>
          </w:p>
        </w:tc>
        <w:tc>
          <w:tcPr>
            <w:tcW w:w="43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第一季度</w:t>
            </w:r>
            <w:r>
              <w:rPr>
                <w:rFonts w:hint="default" w:ascii="Times New Roman" w:hAnsi="Times New Roman" w:cs="Times New Roman"/>
                <w:b/>
                <w:bCs/>
                <w:i w:val="0"/>
                <w:iCs w:val="0"/>
                <w:color w:val="000000"/>
                <w:kern w:val="0"/>
                <w:sz w:val="24"/>
                <w:szCs w:val="24"/>
                <w:highlight w:val="none"/>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blHead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37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4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应还本金</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应付利息</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4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502.40 </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3,452.93 </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3,955.33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海南环岛(东线)高速公路(琼海至三亚段)扩建工程</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firstLine="0" w:firstLineChars="0"/>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122.50</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122.50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海南环岛东线海口至三亚高速公路项目</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firstLine="0" w:firstLineChars="0"/>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107.80</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107.80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海口至洋浦1小时交通圈项目</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firstLine="0" w:firstLineChars="0"/>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61.86</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61.86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海口至文昌高速公路改建项目</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firstLine="0" w:firstLineChars="0"/>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42.14</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42.14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环岛高速公路改造工程九所至八所及邦溪至白马井段项目</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firstLine="0" w:firstLineChars="0"/>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998.38</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998.38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6</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海南中线屯昌至琼中段项目</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firstLine="0" w:firstLineChars="0"/>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2,037.79</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2,037.79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7</w:t>
            </w:r>
          </w:p>
        </w:tc>
        <w:tc>
          <w:tcPr>
            <w:tcW w:w="37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东线高速日元贷款(C21)</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502.40</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82.47</w:t>
            </w:r>
          </w:p>
        </w:tc>
        <w:tc>
          <w:tcPr>
            <w:tcW w:w="1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584.87</w:t>
            </w:r>
          </w:p>
        </w:tc>
      </w:tr>
    </w:tbl>
    <w:p>
      <w:pPr>
        <w:pStyle w:val="16"/>
        <w:pageBreakBefore w:val="0"/>
        <w:numPr>
          <w:ilvl w:val="0"/>
          <w:numId w:val="4"/>
        </w:numPr>
        <w:kinsoku/>
        <w:overflowPunct/>
        <w:topLinePunct w:val="0"/>
        <w:bidi w:val="0"/>
        <w:spacing w:line="560" w:lineRule="exact"/>
        <w:ind w:left="0" w:leftChars="0" w:firstLine="640" w:firstLineChars="200"/>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第二季度高速公路建设需偿还本息236</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426</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891.14元,均已完成支付。其中用于偿还海南环岛（东线）高速公路（琼海至三亚段）扩建工程</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海南环岛东线海口至三亚高速公路项目</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海口至文昌高速公路改建、环岛高速公路改建工程九所至八所及邦西至白马井段项目、海南中线屯昌至琼中段项目</w:t>
      </w:r>
      <w:r>
        <w:rPr>
          <w:rFonts w:hint="eastAsia" w:cs="Times New Roman"/>
          <w:color w:val="auto"/>
          <w:kern w:val="2"/>
          <w:sz w:val="32"/>
          <w:szCs w:val="24"/>
          <w:highlight w:val="none"/>
          <w:lang w:val="en-US" w:eastAsia="zh-CN" w:bidi="ar-SA"/>
        </w:rPr>
        <w:t>的</w:t>
      </w:r>
      <w:r>
        <w:rPr>
          <w:rFonts w:hint="default" w:ascii="Times New Roman" w:hAnsi="Times New Roman" w:eastAsia="仿宋_GB2312" w:cs="Times New Roman"/>
          <w:color w:val="auto"/>
          <w:kern w:val="2"/>
          <w:sz w:val="32"/>
          <w:szCs w:val="24"/>
          <w:highlight w:val="none"/>
          <w:lang w:val="en-US" w:eastAsia="zh-CN" w:bidi="ar-SA"/>
        </w:rPr>
        <w:t>本金共193</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300</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000</w:t>
      </w:r>
      <w:r>
        <w:rPr>
          <w:rFonts w:hint="default" w:ascii="Times New Roman" w:hAnsi="Times New Roman" w:cs="Times New Roman"/>
          <w:color w:val="auto"/>
          <w:kern w:val="2"/>
          <w:sz w:val="32"/>
          <w:szCs w:val="24"/>
          <w:highlight w:val="none"/>
          <w:lang w:val="en-US" w:eastAsia="zh-CN" w:bidi="ar-SA"/>
        </w:rPr>
        <w:t>.00</w:t>
      </w:r>
      <w:r>
        <w:rPr>
          <w:rFonts w:hint="default" w:ascii="Times New Roman" w:hAnsi="Times New Roman" w:eastAsia="仿宋_GB2312" w:cs="Times New Roman"/>
          <w:color w:val="auto"/>
          <w:kern w:val="2"/>
          <w:sz w:val="32"/>
          <w:szCs w:val="24"/>
          <w:highlight w:val="none"/>
          <w:lang w:val="en-US" w:eastAsia="zh-CN" w:bidi="ar-SA"/>
        </w:rPr>
        <w:t>元，</w:t>
      </w:r>
      <w:r>
        <w:rPr>
          <w:rFonts w:hint="eastAsia" w:ascii="Times New Roman" w:hAnsi="Times New Roman" w:cs="Times New Roman"/>
          <w:color w:val="auto"/>
          <w:kern w:val="2"/>
          <w:sz w:val="32"/>
          <w:szCs w:val="24"/>
          <w:highlight w:val="none"/>
          <w:lang w:val="en-US" w:eastAsia="zh-CN" w:bidi="ar-SA"/>
        </w:rPr>
        <w:t>支付</w:t>
      </w:r>
      <w:r>
        <w:rPr>
          <w:rFonts w:hint="default" w:ascii="Times New Roman" w:hAnsi="Times New Roman" w:eastAsia="仿宋_GB2312" w:cs="Times New Roman"/>
          <w:color w:val="auto"/>
          <w:kern w:val="2"/>
          <w:sz w:val="32"/>
          <w:szCs w:val="24"/>
          <w:highlight w:val="none"/>
          <w:lang w:val="en-US" w:eastAsia="zh-CN" w:bidi="ar-SA"/>
        </w:rPr>
        <w:t>海南中线屯昌至琼中段、环岛高速公路改造工程九所至八所及邦溪至白马井段等项目利息共43</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126</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891.14元。</w:t>
      </w:r>
      <w:r>
        <w:rPr>
          <w:rFonts w:hint="default" w:ascii="Times New Roman" w:hAnsi="Times New Roman" w:cs="Times New Roman"/>
          <w:color w:val="auto"/>
          <w:kern w:val="2"/>
          <w:sz w:val="32"/>
          <w:szCs w:val="24"/>
          <w:highlight w:val="none"/>
          <w:lang w:val="en-US" w:eastAsia="zh-CN" w:bidi="ar-SA"/>
        </w:rPr>
        <w:t>具体如下表：</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cs="Times New Roman"/>
          <w:b/>
          <w:bCs/>
          <w:color w:val="auto"/>
          <w:kern w:val="2"/>
          <w:sz w:val="28"/>
          <w:szCs w:val="28"/>
          <w:highlight w:val="none"/>
          <w:lang w:val="en-US" w:eastAsia="zh-CN" w:bidi="ar-SA"/>
        </w:rPr>
        <w:t>高速公路建设偿债第二季度还本付息情况表</w:t>
      </w:r>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0"/>
        <w:gridCol w:w="4428"/>
        <w:gridCol w:w="1184"/>
        <w:gridCol w:w="1184"/>
        <w:gridCol w:w="13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blHeader/>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序号</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项目名称</w:t>
            </w:r>
          </w:p>
        </w:tc>
        <w:tc>
          <w:tcPr>
            <w:tcW w:w="0" w:type="auto"/>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第二季度</w:t>
            </w:r>
            <w:r>
              <w:rPr>
                <w:rFonts w:hint="default" w:ascii="Times New Roman" w:hAnsi="Times New Roman" w:cs="Times New Roman"/>
                <w:b/>
                <w:bCs/>
                <w:i w:val="0"/>
                <w:iCs w:val="0"/>
                <w:color w:val="000000"/>
                <w:kern w:val="0"/>
                <w:sz w:val="24"/>
                <w:szCs w:val="24"/>
                <w:highlight w:val="none"/>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blHeader/>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应还本金</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应付利息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481" w:firstLineChars="20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19,330.00</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4,312.69</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23,642.69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海南环岛(东线)高速公路(琼海至三亚段)扩建工程</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5,000.00</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103.44</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5,103.44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海南环岛东线海口至三亚高速公路项目</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8,800.00</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116.18</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8,916.18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海口至洋浦1小时交通圈项目</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63.24</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63.24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海口至文昌高速公路改建项目</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250.00</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41.99</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291.99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环岛高速公路改造工程九所至八所及邦溪至白马井段项目</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3,250.00</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1,006.41</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4,256.41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海南中线屯昌至琼中段项目</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2,030.00</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2,074.23</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4,104.23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2016年专项置换债券(十年期)</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907.20</w:t>
            </w:r>
          </w:p>
        </w:tc>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907.20</w:t>
            </w:r>
          </w:p>
        </w:tc>
      </w:tr>
    </w:tbl>
    <w:p>
      <w:pPr>
        <w:pStyle w:val="16"/>
        <w:pageBreakBefore w:val="0"/>
        <w:kinsoku/>
        <w:overflowPunct/>
        <w:topLinePunct w:val="0"/>
        <w:bidi w:val="0"/>
        <w:spacing w:line="560" w:lineRule="exact"/>
        <w:ind w:left="0" w:leftChars="0" w:firstLine="640" w:firstLineChars="200"/>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第三季度高速公路建设需偿还本息87</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755</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504.35元</w:t>
      </w:r>
      <w:r>
        <w:rPr>
          <w:rFonts w:hint="eastAsia"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均已完成支付，其中：其中用于偿还海南环岛（东线）高速公路（琼海至三亚段）扩建工程</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东线高速日元贷款（C21）本金共55</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024</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016.63元，支付海南中线屯昌至琼中段、环岛高速公路改造工程九所至八所及邦溪至白马井段等项目利息共32</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731</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487.72元。</w:t>
      </w:r>
      <w:r>
        <w:rPr>
          <w:rFonts w:hint="default" w:ascii="Times New Roman" w:hAnsi="Times New Roman" w:cs="Times New Roman"/>
          <w:color w:val="auto"/>
          <w:kern w:val="2"/>
          <w:sz w:val="32"/>
          <w:szCs w:val="24"/>
          <w:highlight w:val="none"/>
          <w:lang w:val="en-US" w:eastAsia="zh-CN" w:bidi="ar-SA"/>
        </w:rPr>
        <w:t>具体如下表：</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cs="Times New Roman"/>
          <w:b/>
          <w:bCs/>
          <w:color w:val="auto"/>
          <w:kern w:val="2"/>
          <w:sz w:val="28"/>
          <w:szCs w:val="28"/>
          <w:highlight w:val="none"/>
          <w:lang w:val="en-US" w:eastAsia="zh-CN" w:bidi="ar-SA"/>
        </w:rPr>
        <w:t>高速公路建设偿债第三季度还本付息情况表</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8"/>
        <w:gridCol w:w="3587"/>
        <w:gridCol w:w="1506"/>
        <w:gridCol w:w="1667"/>
        <w:gridCol w:w="14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blHeader/>
        </w:trPr>
        <w:tc>
          <w:tcPr>
            <w:tcW w:w="308"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序号</w:t>
            </w:r>
          </w:p>
        </w:tc>
        <w:tc>
          <w:tcPr>
            <w:tcW w:w="2057"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项目名称</w:t>
            </w:r>
          </w:p>
        </w:tc>
        <w:tc>
          <w:tcPr>
            <w:tcW w:w="263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第三季度</w:t>
            </w:r>
            <w:r>
              <w:rPr>
                <w:rFonts w:hint="default" w:ascii="Times New Roman" w:hAnsi="Times New Roman" w:cs="Times New Roman"/>
                <w:b/>
                <w:bCs/>
                <w:i w:val="0"/>
                <w:iCs w:val="0"/>
                <w:color w:val="000000"/>
                <w:kern w:val="0"/>
                <w:sz w:val="24"/>
                <w:szCs w:val="24"/>
                <w:highlight w:val="none"/>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blHeader/>
        </w:trPr>
        <w:tc>
          <w:tcPr>
            <w:tcW w:w="308"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481" w:firstLineChars="20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c>
          <w:tcPr>
            <w:tcW w:w="2057"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481" w:firstLineChars="20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应还本金</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应付利息</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23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5,502.40</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3,273.15</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8,775.55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1</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海南环岛(东线)高速公路(琼海至三亚段)扩建工程</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5,000.00</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54.44</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5,054.44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2</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海口至洋浦1小时交通圈项目</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63.24</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63.24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3</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海口至文昌高速公路改建项目</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firstLine="0" w:firstLineChars="0"/>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39.95</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39.95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4</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环岛高速公路改造工程九所至八所及邦溪至白马井段项目</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firstLine="0" w:firstLineChars="0"/>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979.86</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979.86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5</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海南中线屯昌至琼中段项目</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firstLine="0" w:firstLineChars="0"/>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2,057.65</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2,057.65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6</w:t>
            </w:r>
          </w:p>
        </w:tc>
        <w:tc>
          <w:tcPr>
            <w:tcW w:w="2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东线高速日元贷款(C21)</w:t>
            </w:r>
          </w:p>
        </w:tc>
        <w:tc>
          <w:tcPr>
            <w:tcW w:w="8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502.40</w:t>
            </w:r>
          </w:p>
        </w:tc>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78.01</w:t>
            </w:r>
          </w:p>
        </w:tc>
        <w:tc>
          <w:tcPr>
            <w:tcW w:w="8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580.41</w:t>
            </w:r>
          </w:p>
        </w:tc>
      </w:tr>
    </w:tbl>
    <w:p>
      <w:pPr>
        <w:pStyle w:val="16"/>
        <w:pageBreakBefore w:val="0"/>
        <w:kinsoku/>
        <w:overflowPunct/>
        <w:topLinePunct w:val="0"/>
        <w:bidi w:val="0"/>
        <w:spacing w:line="560" w:lineRule="exact"/>
        <w:ind w:left="0" w:leftChars="0" w:firstLine="640" w:firstLineChars="200"/>
        <w:rPr>
          <w:rFonts w:hint="default" w:ascii="Times New Roman" w:hAnsi="Times New Roman" w:cs="Times New Roman"/>
          <w:highlight w:val="none"/>
          <w:lang w:val="en-US" w:eastAsia="zh-CN"/>
        </w:rPr>
      </w:pPr>
      <w:r>
        <w:rPr>
          <w:rFonts w:hint="default" w:ascii="Times New Roman" w:hAnsi="Times New Roman" w:cs="Times New Roman"/>
          <w:color w:val="auto"/>
          <w:kern w:val="2"/>
          <w:sz w:val="32"/>
          <w:szCs w:val="24"/>
          <w:highlight w:val="none"/>
          <w:lang w:val="en-US" w:eastAsia="zh-CN" w:bidi="ar-SA"/>
        </w:rPr>
        <w:t>（4）</w:t>
      </w:r>
      <w:r>
        <w:rPr>
          <w:rFonts w:hint="default" w:ascii="Times New Roman" w:hAnsi="Times New Roman" w:eastAsia="仿宋_GB2312" w:cs="Times New Roman"/>
          <w:color w:val="auto"/>
          <w:kern w:val="2"/>
          <w:sz w:val="32"/>
          <w:szCs w:val="24"/>
          <w:highlight w:val="none"/>
          <w:lang w:val="en-US" w:eastAsia="zh-CN" w:bidi="ar-SA"/>
        </w:rPr>
        <w:t>第四季度高速公路建设需偿还本息125</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554</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261.08元，均已完成支付。其中：其中用于</w:t>
      </w:r>
      <w:r>
        <w:rPr>
          <w:rFonts w:hint="default" w:ascii="Times New Roman" w:hAnsi="Times New Roman" w:cs="Times New Roman"/>
          <w:color w:val="auto"/>
          <w:kern w:val="2"/>
          <w:sz w:val="32"/>
          <w:szCs w:val="24"/>
          <w:highlight w:val="none"/>
          <w:lang w:val="en-US" w:eastAsia="zh-CN" w:bidi="ar-SA"/>
        </w:rPr>
        <w:t>偿还</w:t>
      </w:r>
      <w:r>
        <w:rPr>
          <w:rFonts w:hint="default" w:ascii="Times New Roman" w:hAnsi="Times New Roman" w:eastAsia="仿宋_GB2312" w:cs="Times New Roman"/>
          <w:color w:val="auto"/>
          <w:kern w:val="2"/>
          <w:sz w:val="32"/>
          <w:szCs w:val="24"/>
          <w:highlight w:val="none"/>
          <w:lang w:val="en-US" w:eastAsia="zh-CN" w:bidi="ar-SA"/>
        </w:rPr>
        <w:t>海口至文昌高速公路改建</w:t>
      </w:r>
      <w:r>
        <w:rPr>
          <w:rFonts w:hint="default" w:ascii="Times New Roman" w:hAnsi="Times New Roman" w:cs="Times New Roman"/>
          <w:color w:val="auto"/>
          <w:kern w:val="2"/>
          <w:sz w:val="32"/>
          <w:szCs w:val="24"/>
          <w:highlight w:val="none"/>
          <w:lang w:val="en-US" w:eastAsia="zh-CN" w:bidi="ar-SA"/>
        </w:rPr>
        <w:t>项目、环岛高速公路改造工程九所至八所及邦溪至白马井段项目、海南中线屯昌至琼中段项目</w:t>
      </w:r>
      <w:r>
        <w:rPr>
          <w:rFonts w:hint="default" w:ascii="Times New Roman" w:hAnsi="Times New Roman" w:eastAsia="仿宋_GB2312" w:cs="Times New Roman"/>
          <w:color w:val="auto"/>
          <w:kern w:val="2"/>
          <w:sz w:val="32"/>
          <w:szCs w:val="24"/>
          <w:highlight w:val="none"/>
          <w:lang w:val="en-US" w:eastAsia="zh-CN" w:bidi="ar-SA"/>
        </w:rPr>
        <w:t>本金共68</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100</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0</w:t>
      </w:r>
      <w:r>
        <w:rPr>
          <w:rFonts w:hint="default" w:ascii="Times New Roman" w:hAnsi="Times New Roman" w:cs="Times New Roman"/>
          <w:color w:val="auto"/>
          <w:kern w:val="2"/>
          <w:sz w:val="32"/>
          <w:szCs w:val="24"/>
          <w:highlight w:val="none"/>
          <w:lang w:val="en-US" w:eastAsia="zh-CN" w:bidi="ar-SA"/>
        </w:rPr>
        <w:t>00.00</w:t>
      </w:r>
      <w:r>
        <w:rPr>
          <w:rFonts w:hint="default" w:ascii="Times New Roman" w:hAnsi="Times New Roman" w:eastAsia="仿宋_GB2312" w:cs="Times New Roman"/>
          <w:color w:val="auto"/>
          <w:kern w:val="2"/>
          <w:sz w:val="32"/>
          <w:szCs w:val="24"/>
          <w:highlight w:val="none"/>
          <w:lang w:val="en-US" w:eastAsia="zh-CN" w:bidi="ar-SA"/>
        </w:rPr>
        <w:t>元，支付海南中线屯昌至琼中段、2016年专项置换债券</w:t>
      </w:r>
      <w:r>
        <w:rPr>
          <w:rFonts w:hint="eastAsia"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五年期</w:t>
      </w:r>
      <w:r>
        <w:rPr>
          <w:rFonts w:hint="eastAsia"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再融资债券等项目利息共57</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454</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261.08元。还本付息完成率100%，该指标得满分。</w:t>
      </w:r>
      <w:r>
        <w:rPr>
          <w:rFonts w:hint="default" w:ascii="Times New Roman" w:hAnsi="Times New Roman" w:cs="Times New Roman"/>
          <w:highlight w:val="none"/>
          <w:lang w:val="en-US" w:eastAsia="zh-CN"/>
        </w:rPr>
        <w:t>具体如下表：</w:t>
      </w:r>
    </w:p>
    <w:p>
      <w:pPr>
        <w:pStyle w:val="1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Times New Roman" w:hAnsi="Times New Roman" w:cs="Times New Roman"/>
          <w:highlight w:val="none"/>
          <w:lang w:val="en-US" w:eastAsia="zh-CN"/>
        </w:rPr>
      </w:pPr>
      <w:r>
        <w:rPr>
          <w:rFonts w:hint="default" w:ascii="Times New Roman" w:hAnsi="Times New Roman" w:cs="Times New Roman"/>
          <w:b/>
          <w:bCs/>
          <w:color w:val="auto"/>
          <w:kern w:val="2"/>
          <w:sz w:val="28"/>
          <w:szCs w:val="28"/>
          <w:highlight w:val="none"/>
          <w:lang w:val="en-US" w:eastAsia="zh-CN" w:bidi="ar-SA"/>
        </w:rPr>
        <w:t>高速公路建设偿债第四季度还本付息情况表</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1"/>
        <w:gridCol w:w="3844"/>
        <w:gridCol w:w="1493"/>
        <w:gridCol w:w="1556"/>
        <w:gridCol w:w="1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blHeader/>
        </w:trPr>
        <w:tc>
          <w:tcPr>
            <w:tcW w:w="26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序号</w:t>
            </w:r>
          </w:p>
        </w:tc>
        <w:tc>
          <w:tcPr>
            <w:tcW w:w="2203"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项目名称</w:t>
            </w:r>
          </w:p>
        </w:tc>
        <w:tc>
          <w:tcPr>
            <w:tcW w:w="253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第四季度</w:t>
            </w:r>
            <w:r>
              <w:rPr>
                <w:rFonts w:hint="default" w:ascii="Times New Roman" w:hAnsi="Times New Roman" w:cs="Times New Roman"/>
                <w:b/>
                <w:bCs/>
                <w:i w:val="0"/>
                <w:iCs w:val="0"/>
                <w:color w:val="000000"/>
                <w:kern w:val="0"/>
                <w:sz w:val="24"/>
                <w:szCs w:val="24"/>
                <w:highlight w:val="none"/>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blHeader/>
        </w:trPr>
        <w:tc>
          <w:tcPr>
            <w:tcW w:w="26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481" w:firstLineChars="20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c>
          <w:tcPr>
            <w:tcW w:w="2203"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481" w:firstLineChars="20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应还本金</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应付利息</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24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6,810.00 </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5,745.43 </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12,555.43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1</w:t>
            </w:r>
          </w:p>
        </w:tc>
        <w:tc>
          <w:tcPr>
            <w:tcW w:w="2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海口至洋浦1小时交通圈项目</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62.55</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62.55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2</w:t>
            </w:r>
          </w:p>
        </w:tc>
        <w:tc>
          <w:tcPr>
            <w:tcW w:w="2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海口至文昌高速公路改建项目</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250.00</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38.46</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288.46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3</w:t>
            </w:r>
          </w:p>
        </w:tc>
        <w:tc>
          <w:tcPr>
            <w:tcW w:w="2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环岛高速公路改造工程九所至八所及邦溪至白马井段项目</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3,250.00</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955.50</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4,205.50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4</w:t>
            </w:r>
          </w:p>
        </w:tc>
        <w:tc>
          <w:tcPr>
            <w:tcW w:w="2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海南中线屯昌至琼中段项目</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3,310.00</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2,021.32</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5,331.32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5</w:t>
            </w:r>
          </w:p>
        </w:tc>
        <w:tc>
          <w:tcPr>
            <w:tcW w:w="2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2016年专项置换债券(五年期)再融资债券</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1,760.40</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1,760.40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ascii="Times New Roman" w:hAnsi="Times New Roman" w:cs="Times New Roman"/>
                <w:i w:val="0"/>
                <w:iCs w:val="0"/>
                <w:color w:val="000000"/>
                <w:kern w:val="0"/>
                <w:sz w:val="24"/>
                <w:szCs w:val="24"/>
                <w:highlight w:val="none"/>
                <w:u w:val="none"/>
                <w:lang w:val="en-US" w:eastAsia="zh-CN" w:bidi="ar"/>
              </w:rPr>
              <w:t>6</w:t>
            </w:r>
          </w:p>
        </w:tc>
        <w:tc>
          <w:tcPr>
            <w:tcW w:w="2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2016年专项置换债券(十年期)</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907.20</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pPr>
            <w:r>
              <w:rPr>
                <w:rFonts w:hint="default" w:ascii="Times New Roman" w:hAnsi="Times New Roman" w:eastAsia="仿宋_GB2312" w:cs="Times New Roman"/>
                <w:b w:val="0"/>
                <w:bCs w:val="0"/>
                <w:i w:val="0"/>
                <w:iCs w:val="0"/>
                <w:color w:val="000000"/>
                <w:kern w:val="0"/>
                <w:sz w:val="24"/>
                <w:szCs w:val="24"/>
                <w:highlight w:val="none"/>
                <w:u w:val="none"/>
                <w:lang w:val="en-US" w:eastAsia="zh-CN" w:bidi="ar"/>
              </w:rPr>
              <w:t>907.20</w:t>
            </w:r>
          </w:p>
        </w:tc>
      </w:tr>
    </w:tbl>
    <w:p>
      <w:pPr>
        <w:pageBreakBefore w:val="0"/>
        <w:kinsoku/>
        <w:overflowPunct/>
        <w:topLinePunct w:val="0"/>
        <w:bidi w:val="0"/>
        <w:spacing w:line="560" w:lineRule="exact"/>
        <w:ind w:left="0" w:leftChars="0" w:firstLine="642" w:firstLineChars="200"/>
        <w:outlineLvl w:val="2"/>
        <w:rPr>
          <w:rFonts w:hint="default" w:ascii="Times New Roman" w:hAnsi="Times New Roman" w:cs="Times New Roman"/>
          <w:b/>
          <w:bCs/>
          <w:color w:val="auto"/>
          <w:highlight w:val="none"/>
          <w:lang w:val="en-US" w:eastAsia="zh-CN"/>
        </w:rPr>
      </w:pPr>
      <w:bookmarkStart w:id="141" w:name="_Toc25551"/>
      <w:bookmarkStart w:id="142" w:name="_Toc19059"/>
      <w:bookmarkStart w:id="143" w:name="_Toc13356"/>
      <w:bookmarkStart w:id="144" w:name="_Toc15109"/>
      <w:bookmarkStart w:id="145" w:name="_Toc4919"/>
      <w:r>
        <w:rPr>
          <w:rFonts w:hint="default" w:ascii="Times New Roman" w:hAnsi="Times New Roman" w:cs="Times New Roman"/>
          <w:b/>
          <w:bCs/>
          <w:color w:val="auto"/>
          <w:highlight w:val="none"/>
          <w:lang w:val="en-US" w:eastAsia="zh-CN"/>
        </w:rPr>
        <w:t>4.3.2</w:t>
      </w:r>
      <w:bookmarkEnd w:id="141"/>
      <w:bookmarkEnd w:id="142"/>
      <w:bookmarkEnd w:id="143"/>
      <w:bookmarkEnd w:id="144"/>
      <w:bookmarkEnd w:id="145"/>
      <w:r>
        <w:rPr>
          <w:rFonts w:hint="default" w:ascii="Times New Roman" w:hAnsi="Times New Roman" w:cs="Times New Roman"/>
          <w:b/>
          <w:bCs/>
          <w:color w:val="auto"/>
          <w:highlight w:val="none"/>
        </w:rPr>
        <w:t>按期偿债及时率</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指标解释：</w:t>
      </w:r>
      <w:r>
        <w:rPr>
          <w:rFonts w:hint="default" w:ascii="Times New Roman" w:hAnsi="Times New Roman" w:cs="Times New Roman"/>
          <w:color w:val="auto"/>
          <w:highlight w:val="none"/>
          <w:lang w:val="en-US" w:eastAsia="zh-CN"/>
        </w:rPr>
        <w:t>考察是否按计划及时还款。</w:t>
      </w:r>
    </w:p>
    <w:p>
      <w:pPr>
        <w:pageBreakBefore w:val="0"/>
        <w:kinsoku/>
        <w:overflowPunct/>
        <w:topLinePunct w:val="0"/>
        <w:bidi w:val="0"/>
        <w:spacing w:line="560" w:lineRule="exact"/>
        <w:ind w:firstLine="643"/>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cs="Times New Roman"/>
          <w:color w:val="auto"/>
          <w:highlight w:val="none"/>
        </w:rPr>
        <w:t>业绩值=实际还款日期/应还款日期*100%。</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评分标准：</w:t>
      </w:r>
      <w:r>
        <w:rPr>
          <w:rFonts w:hint="default" w:ascii="Times New Roman" w:hAnsi="Times New Roman" w:cs="Times New Roman"/>
          <w:color w:val="auto"/>
          <w:highlight w:val="none"/>
          <w:lang w:val="en-US" w:eastAsia="zh-CN"/>
        </w:rPr>
        <w:t>≥90%得满分权重分，每下降1%扣1%权重分，直至零分。</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绩效分析：</w:t>
      </w:r>
      <w:r>
        <w:rPr>
          <w:rFonts w:hint="default" w:ascii="Times New Roman" w:hAnsi="Times New Roman" w:cs="Times New Roman"/>
          <w:color w:val="auto"/>
          <w:highlight w:val="none"/>
          <w:lang w:val="en-US" w:eastAsia="zh-CN"/>
        </w:rPr>
        <w:t>根据项目执行情况表、海南省交通投资控股有限公司四个季度偿债资金的请示，第一季度高速公路建设本息实际支付日期为2023年3月9日；第二季度高速公路建设本息实际支付日期为2023年5月17日；第三季度高速公路建设本息实际支付日期为2023年9月12日；第四季度高速公路建设本息实际支付日期为2023年11月16日。2023年高速公路建设偿债均按规定时间完成支付，还款及时率为100%，该指标得满分。具体如下表：</w:t>
      </w:r>
    </w:p>
    <w:p>
      <w:pPr>
        <w:pStyle w:val="2"/>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cs="Times New Roman"/>
          <w:b/>
          <w:bCs/>
          <w:sz w:val="28"/>
          <w:szCs w:val="28"/>
          <w:highlight w:val="none"/>
          <w:lang w:val="en-US" w:eastAsia="zh-CN"/>
        </w:rPr>
      </w:pPr>
      <w:r>
        <w:rPr>
          <w:rFonts w:hint="default" w:ascii="Times New Roman" w:hAnsi="Times New Roman" w:cs="Times New Roman"/>
          <w:b/>
          <w:bCs/>
          <w:sz w:val="28"/>
          <w:szCs w:val="28"/>
          <w:highlight w:val="none"/>
          <w:lang w:val="en-US" w:eastAsia="zh-CN"/>
        </w:rPr>
        <w:t>还款及时情况表</w:t>
      </w:r>
    </w:p>
    <w:tbl>
      <w:tblPr>
        <w:tblStyle w:val="17"/>
        <w:tblW w:w="5291" w:type="pct"/>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80"/>
        <w:gridCol w:w="1730"/>
        <w:gridCol w:w="1630"/>
        <w:gridCol w:w="1735"/>
        <w:gridCol w:w="2375"/>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422"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季度</w:t>
            </w:r>
          </w:p>
        </w:tc>
        <w:tc>
          <w:tcPr>
            <w:tcW w:w="2760" w:type="pct"/>
            <w:gridSpan w:val="3"/>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支出金额（元）</w:t>
            </w:r>
          </w:p>
        </w:tc>
        <w:tc>
          <w:tcPr>
            <w:tcW w:w="1286"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bottom"/>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应支付日期</w:t>
            </w:r>
          </w:p>
        </w:tc>
        <w:tc>
          <w:tcPr>
            <w:tcW w:w="530"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bottom"/>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实际支付日期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3" w:hRule="atLeast"/>
        </w:trPr>
        <w:tc>
          <w:tcPr>
            <w:tcW w:w="422"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937"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本金</w:t>
            </w:r>
          </w:p>
        </w:tc>
        <w:tc>
          <w:tcPr>
            <w:tcW w:w="882"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利息</w:t>
            </w:r>
          </w:p>
        </w:tc>
        <w:tc>
          <w:tcPr>
            <w:tcW w:w="939"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小计</w:t>
            </w:r>
          </w:p>
        </w:tc>
        <w:tc>
          <w:tcPr>
            <w:tcW w:w="1286"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530"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3" w:hRule="atLeast"/>
        </w:trPr>
        <w:tc>
          <w:tcPr>
            <w:tcW w:w="42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第一季度</w:t>
            </w:r>
          </w:p>
        </w:tc>
        <w:tc>
          <w:tcPr>
            <w:tcW w:w="937" w:type="pct"/>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5,024,016.63</w:t>
            </w:r>
          </w:p>
        </w:tc>
        <w:tc>
          <w:tcPr>
            <w:tcW w:w="882" w:type="pct"/>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34,529,326.80</w:t>
            </w:r>
          </w:p>
        </w:tc>
        <w:tc>
          <w:tcPr>
            <w:tcW w:w="939" w:type="pct"/>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39,553,343.43</w:t>
            </w:r>
          </w:p>
        </w:tc>
        <w:tc>
          <w:tcPr>
            <w:tcW w:w="128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bottom"/>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cs="Times New Roman"/>
                <w:i w:val="0"/>
                <w:iCs w:val="0"/>
                <w:color w:val="000000"/>
                <w:kern w:val="0"/>
                <w:sz w:val="24"/>
                <w:szCs w:val="24"/>
                <w:highlight w:val="none"/>
                <w:u w:val="none"/>
                <w:lang w:val="en-US" w:eastAsia="zh-CN" w:bidi="ar"/>
              </w:rPr>
              <w:t>国开行：</w:t>
            </w:r>
            <w:r>
              <w:rPr>
                <w:rFonts w:hint="default" w:ascii="Times New Roman" w:hAnsi="Times New Roman" w:eastAsia="仿宋_GB2312" w:cs="Times New Roman"/>
                <w:i w:val="0"/>
                <w:iCs w:val="0"/>
                <w:color w:val="000000"/>
                <w:kern w:val="0"/>
                <w:sz w:val="24"/>
                <w:szCs w:val="24"/>
                <w:highlight w:val="none"/>
                <w:u w:val="none"/>
                <w:lang w:val="en-US" w:eastAsia="zh-CN" w:bidi="ar"/>
              </w:rPr>
              <w:t>3月18日前</w:t>
            </w:r>
          </w:p>
          <w:p>
            <w:pPr>
              <w:pStyle w:val="2"/>
              <w:ind w:firstLine="0" w:firstLineChars="0"/>
              <w:rPr>
                <w:rFonts w:hint="default"/>
                <w:highlight w:val="none"/>
                <w:lang w:val="en-US"/>
              </w:rPr>
            </w:pPr>
            <w:r>
              <w:rPr>
                <w:rFonts w:hint="eastAsia" w:cs="Times New Roman"/>
                <w:i w:val="0"/>
                <w:iCs w:val="0"/>
                <w:color w:val="000000"/>
                <w:kern w:val="0"/>
                <w:sz w:val="24"/>
                <w:szCs w:val="24"/>
                <w:highlight w:val="none"/>
                <w:u w:val="none"/>
                <w:lang w:val="en-US" w:eastAsia="zh-CN" w:bidi="ar"/>
              </w:rPr>
              <w:t>进出口银行：3月10日前</w:t>
            </w:r>
          </w:p>
        </w:tc>
        <w:tc>
          <w:tcPr>
            <w:tcW w:w="5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default" w:ascii="Times New Roman" w:hAnsi="Times New Roman"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/3/</w:t>
            </w:r>
            <w:r>
              <w:rPr>
                <w:rFonts w:hint="default" w:ascii="Times New Roman" w:hAnsi="Times New Roman" w:cs="Times New Roman"/>
                <w:i w:val="0"/>
                <w:iCs w:val="0"/>
                <w:color w:val="000000"/>
                <w:kern w:val="0"/>
                <w:sz w:val="24"/>
                <w:szCs w:val="24"/>
                <w:highlight w:val="none"/>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3" w:hRule="atLeast"/>
        </w:trPr>
        <w:tc>
          <w:tcPr>
            <w:tcW w:w="42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第二季度</w:t>
            </w:r>
          </w:p>
        </w:tc>
        <w:tc>
          <w:tcPr>
            <w:tcW w:w="937" w:type="pct"/>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193,300,000.00</w:t>
            </w:r>
          </w:p>
        </w:tc>
        <w:tc>
          <w:tcPr>
            <w:tcW w:w="882" w:type="pct"/>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43,126,891.14</w:t>
            </w:r>
          </w:p>
        </w:tc>
        <w:tc>
          <w:tcPr>
            <w:tcW w:w="939" w:type="pct"/>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236,426,891.14</w:t>
            </w:r>
          </w:p>
        </w:tc>
        <w:tc>
          <w:tcPr>
            <w:tcW w:w="128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bottom"/>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cs="Times New Roman"/>
                <w:i w:val="0"/>
                <w:iCs w:val="0"/>
                <w:color w:val="000000"/>
                <w:kern w:val="0"/>
                <w:sz w:val="24"/>
                <w:szCs w:val="24"/>
                <w:highlight w:val="none"/>
                <w:u w:val="none"/>
                <w:lang w:val="en-US" w:eastAsia="zh-CN" w:bidi="ar"/>
              </w:rPr>
              <w:t>国开行：</w:t>
            </w:r>
            <w:r>
              <w:rPr>
                <w:rFonts w:hint="default" w:ascii="Times New Roman" w:hAnsi="Times New Roman" w:eastAsia="仿宋_GB2312" w:cs="Times New Roman"/>
                <w:i w:val="0"/>
                <w:iCs w:val="0"/>
                <w:color w:val="000000"/>
                <w:kern w:val="0"/>
                <w:sz w:val="24"/>
                <w:szCs w:val="24"/>
                <w:highlight w:val="none"/>
                <w:u w:val="none"/>
                <w:lang w:val="en-US" w:eastAsia="zh-CN" w:bidi="ar"/>
              </w:rPr>
              <w:t>5月1</w:t>
            </w:r>
            <w:r>
              <w:rPr>
                <w:rFonts w:hint="eastAsia" w:cs="Times New Roman"/>
                <w:i w:val="0"/>
                <w:iCs w:val="0"/>
                <w:color w:val="000000"/>
                <w:kern w:val="0"/>
                <w:sz w:val="24"/>
                <w:szCs w:val="24"/>
                <w:highlight w:val="none"/>
                <w:u w:val="none"/>
                <w:lang w:val="en-US" w:eastAsia="zh-CN" w:bidi="ar"/>
              </w:rPr>
              <w:t>7</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p>
          <w:p>
            <w:pPr>
              <w:pStyle w:val="2"/>
              <w:ind w:firstLine="0" w:firstLineChars="0"/>
              <w:rPr>
                <w:rFonts w:hint="default"/>
                <w:highlight w:val="none"/>
              </w:rPr>
            </w:pPr>
            <w:r>
              <w:rPr>
                <w:rFonts w:hint="eastAsia" w:cs="Times New Roman"/>
                <w:i w:val="0"/>
                <w:iCs w:val="0"/>
                <w:color w:val="000000"/>
                <w:kern w:val="0"/>
                <w:sz w:val="24"/>
                <w:szCs w:val="24"/>
                <w:highlight w:val="none"/>
                <w:u w:val="none"/>
                <w:lang w:val="en-US" w:eastAsia="zh-CN" w:bidi="ar"/>
              </w:rPr>
              <w:t>进出口银行：5月10日前</w:t>
            </w:r>
          </w:p>
        </w:tc>
        <w:tc>
          <w:tcPr>
            <w:tcW w:w="5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default" w:ascii="Times New Roman" w:hAnsi="Times New Roman"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3" w:hRule="atLeast"/>
        </w:trPr>
        <w:tc>
          <w:tcPr>
            <w:tcW w:w="42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第三季度</w:t>
            </w:r>
          </w:p>
        </w:tc>
        <w:tc>
          <w:tcPr>
            <w:tcW w:w="937" w:type="pct"/>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55,024,016.63</w:t>
            </w:r>
          </w:p>
        </w:tc>
        <w:tc>
          <w:tcPr>
            <w:tcW w:w="882" w:type="pct"/>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32,731,487.72</w:t>
            </w:r>
          </w:p>
        </w:tc>
        <w:tc>
          <w:tcPr>
            <w:tcW w:w="939" w:type="pct"/>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87,755,504.35</w:t>
            </w:r>
          </w:p>
        </w:tc>
        <w:tc>
          <w:tcPr>
            <w:tcW w:w="128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bottom"/>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cs="Times New Roman"/>
                <w:i w:val="0"/>
                <w:iCs w:val="0"/>
                <w:color w:val="000000"/>
                <w:kern w:val="0"/>
                <w:sz w:val="24"/>
                <w:szCs w:val="24"/>
                <w:highlight w:val="none"/>
                <w:u w:val="none"/>
                <w:lang w:val="en-US" w:eastAsia="zh-CN" w:bidi="ar"/>
              </w:rPr>
              <w:t>国开行：9</w:t>
            </w:r>
            <w:r>
              <w:rPr>
                <w:rFonts w:hint="default" w:ascii="Times New Roman" w:hAnsi="Times New Roman" w:eastAsia="仿宋_GB2312" w:cs="Times New Roman"/>
                <w:i w:val="0"/>
                <w:iCs w:val="0"/>
                <w:color w:val="000000"/>
                <w:kern w:val="0"/>
                <w:sz w:val="24"/>
                <w:szCs w:val="24"/>
                <w:highlight w:val="none"/>
                <w:u w:val="none"/>
                <w:lang w:val="en-US" w:eastAsia="zh-CN" w:bidi="ar"/>
              </w:rPr>
              <w:t>月1</w:t>
            </w:r>
            <w:r>
              <w:rPr>
                <w:rFonts w:hint="eastAsia" w:cs="Times New Roman"/>
                <w:i w:val="0"/>
                <w:iCs w:val="0"/>
                <w:color w:val="000000"/>
                <w:kern w:val="0"/>
                <w:sz w:val="24"/>
                <w:szCs w:val="24"/>
                <w:highlight w:val="none"/>
                <w:u w:val="none"/>
                <w:lang w:val="en-US" w:eastAsia="zh-CN" w:bidi="ar"/>
              </w:rPr>
              <w:t>7</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p>
          <w:p>
            <w:pPr>
              <w:pStyle w:val="2"/>
              <w:ind w:firstLine="0" w:firstLineChars="0"/>
              <w:rPr>
                <w:rFonts w:hint="default"/>
                <w:highlight w:val="none"/>
              </w:rPr>
            </w:pPr>
            <w:r>
              <w:rPr>
                <w:rFonts w:hint="eastAsia" w:cs="Times New Roman"/>
                <w:i w:val="0"/>
                <w:iCs w:val="0"/>
                <w:color w:val="000000"/>
                <w:kern w:val="0"/>
                <w:sz w:val="24"/>
                <w:szCs w:val="24"/>
                <w:highlight w:val="none"/>
                <w:u w:val="none"/>
                <w:lang w:val="en-US" w:eastAsia="zh-CN" w:bidi="ar"/>
              </w:rPr>
              <w:t>进出口银行：9月10日前</w:t>
            </w:r>
          </w:p>
        </w:tc>
        <w:tc>
          <w:tcPr>
            <w:tcW w:w="5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default" w:ascii="Times New Roman" w:hAnsi="Times New Roman"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cs="Times New Roman"/>
                <w:i w:val="0"/>
                <w:iCs w:val="0"/>
                <w:color w:val="000000"/>
                <w:kern w:val="0"/>
                <w:sz w:val="24"/>
                <w:szCs w:val="24"/>
                <w:highlight w:val="none"/>
                <w:u w:val="none"/>
                <w:lang w:val="en-US" w:eastAsia="zh-CN" w:bidi="ar"/>
              </w:rPr>
              <w:t>9</w:t>
            </w:r>
            <w:r>
              <w:rPr>
                <w:rFonts w:hint="default"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cs="Times New Roman"/>
                <w:i w:val="0"/>
                <w:iCs w:val="0"/>
                <w:color w:val="000000"/>
                <w:kern w:val="0"/>
                <w:sz w:val="24"/>
                <w:szCs w:val="24"/>
                <w:highlight w:val="none"/>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3" w:hRule="atLeast"/>
        </w:trPr>
        <w:tc>
          <w:tcPr>
            <w:tcW w:w="42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第四季度</w:t>
            </w:r>
          </w:p>
        </w:tc>
        <w:tc>
          <w:tcPr>
            <w:tcW w:w="937" w:type="pct"/>
            <w:shd w:val="clear" w:color="auto" w:fill="auto"/>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68,100,000.00 </w:t>
            </w:r>
          </w:p>
        </w:tc>
        <w:tc>
          <w:tcPr>
            <w:tcW w:w="882" w:type="pct"/>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57,454,261.08 </w:t>
            </w:r>
          </w:p>
        </w:tc>
        <w:tc>
          <w:tcPr>
            <w:tcW w:w="939" w:type="pct"/>
            <w:shd w:val="clear" w:color="auto" w:fill="auto"/>
            <w:noWrap/>
            <w:vAlign w:val="center"/>
          </w:tcPr>
          <w:p>
            <w:pPr>
              <w:keepNext w:val="0"/>
              <w:keepLines w:val="0"/>
              <w:widowControl/>
              <w:suppressLineNumbers w:val="0"/>
              <w:ind w:left="0" w:leftChars="0" w:firstLine="0" w:firstLineChars="0"/>
              <w:jc w:val="right"/>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125,554,261.08 </w:t>
            </w:r>
          </w:p>
        </w:tc>
        <w:tc>
          <w:tcPr>
            <w:tcW w:w="1286"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bottom"/>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eastAsia" w:cs="Times New Roman"/>
                <w:i w:val="0"/>
                <w:iCs w:val="0"/>
                <w:color w:val="000000"/>
                <w:kern w:val="0"/>
                <w:sz w:val="24"/>
                <w:szCs w:val="24"/>
                <w:highlight w:val="none"/>
                <w:u w:val="none"/>
                <w:lang w:val="en-US" w:eastAsia="zh-CN" w:bidi="ar"/>
              </w:rPr>
              <w:t>国开行：12</w:t>
            </w:r>
            <w:r>
              <w:rPr>
                <w:rFonts w:hint="default" w:ascii="Times New Roman" w:hAnsi="Times New Roman" w:eastAsia="仿宋_GB2312" w:cs="Times New Roman"/>
                <w:i w:val="0"/>
                <w:iCs w:val="0"/>
                <w:color w:val="000000"/>
                <w:kern w:val="0"/>
                <w:sz w:val="24"/>
                <w:szCs w:val="24"/>
                <w:highlight w:val="none"/>
                <w:u w:val="none"/>
                <w:lang w:val="en-US" w:eastAsia="zh-CN" w:bidi="ar"/>
              </w:rPr>
              <w:t>月</w:t>
            </w:r>
            <w:r>
              <w:rPr>
                <w:rFonts w:hint="eastAsia" w:cs="Times New Roman"/>
                <w:i w:val="0"/>
                <w:iCs w:val="0"/>
                <w:color w:val="000000"/>
                <w:kern w:val="0"/>
                <w:sz w:val="24"/>
                <w:szCs w:val="24"/>
                <w:highlight w:val="none"/>
                <w:u w:val="none"/>
                <w:lang w:val="en-US" w:eastAsia="zh-CN" w:bidi="ar"/>
              </w:rPr>
              <w:t>17</w:t>
            </w:r>
            <w:r>
              <w:rPr>
                <w:rFonts w:hint="default" w:ascii="Times New Roman" w:hAnsi="Times New Roman" w:eastAsia="仿宋_GB2312" w:cs="Times New Roman"/>
                <w:i w:val="0"/>
                <w:iCs w:val="0"/>
                <w:color w:val="000000"/>
                <w:kern w:val="0"/>
                <w:sz w:val="24"/>
                <w:szCs w:val="24"/>
                <w:highlight w:val="none"/>
                <w:u w:val="none"/>
                <w:lang w:val="en-US" w:eastAsia="zh-CN" w:bidi="ar"/>
              </w:rPr>
              <w:t>日前</w:t>
            </w: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rPr>
                <w:rFonts w:hint="default" w:ascii="Times New Roman" w:hAnsi="Times New Roman" w:eastAsia="仿宋_GB2312" w:cs="Times New Roman"/>
                <w:i w:val="0"/>
                <w:iCs w:val="0"/>
                <w:color w:val="000000"/>
                <w:sz w:val="24"/>
                <w:szCs w:val="24"/>
                <w:highlight w:val="none"/>
                <w:u w:val="none"/>
                <w:lang w:val="en-US" w:eastAsia="zh-CN"/>
              </w:rPr>
            </w:pPr>
            <w:r>
              <w:rPr>
                <w:rFonts w:hint="eastAsia" w:cs="Times New Roman"/>
                <w:i w:val="0"/>
                <w:iCs w:val="0"/>
                <w:color w:val="000000"/>
                <w:kern w:val="0"/>
                <w:sz w:val="24"/>
                <w:szCs w:val="24"/>
                <w:highlight w:val="none"/>
                <w:u w:val="none"/>
                <w:lang w:val="en-US" w:eastAsia="zh-CN" w:bidi="ar"/>
              </w:rPr>
              <w:t>进出口银行：12月10日前</w:t>
            </w:r>
          </w:p>
        </w:tc>
        <w:tc>
          <w:tcPr>
            <w:tcW w:w="530"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default" w:ascii="Times New Roman" w:hAnsi="Times New Roman" w:eastAsia="仿宋_GB2312" w:cs="Times New Roman"/>
                <w:i w:val="0"/>
                <w:iCs w:val="0"/>
                <w:color w:val="000000"/>
                <w:kern w:val="0"/>
                <w:sz w:val="24"/>
                <w:szCs w:val="24"/>
                <w:highlight w:val="none"/>
                <w:u w:val="none"/>
                <w:lang w:val="en-US" w:eastAsia="zh-CN" w:bidi="ar"/>
              </w:rPr>
              <w:t>202</w:t>
            </w:r>
            <w:r>
              <w:rPr>
                <w:rFonts w:hint="default" w:ascii="Times New Roman" w:hAnsi="Times New Roman" w:cs="Times New Roman"/>
                <w:i w:val="0"/>
                <w:iCs w:val="0"/>
                <w:color w:val="000000"/>
                <w:kern w:val="0"/>
                <w:sz w:val="24"/>
                <w:szCs w:val="24"/>
                <w:highlight w:val="none"/>
                <w:u w:val="none"/>
                <w:lang w:val="en-US" w:eastAsia="zh-CN" w:bidi="ar"/>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cs="Times New Roman"/>
                <w:i w:val="0"/>
                <w:iCs w:val="0"/>
                <w:color w:val="000000"/>
                <w:kern w:val="0"/>
                <w:sz w:val="24"/>
                <w:szCs w:val="24"/>
                <w:highlight w:val="none"/>
                <w:u w:val="none"/>
                <w:lang w:val="en-US" w:eastAsia="zh-CN" w:bidi="ar"/>
              </w:rPr>
              <w:t>11</w:t>
            </w:r>
            <w:r>
              <w:rPr>
                <w:rFonts w:hint="default"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cs="Times New Roman"/>
                <w:i w:val="0"/>
                <w:iCs w:val="0"/>
                <w:color w:val="000000"/>
                <w:kern w:val="0"/>
                <w:sz w:val="24"/>
                <w:szCs w:val="24"/>
                <w:highlight w:val="none"/>
                <w:u w:val="none"/>
                <w:lang w:val="en-US" w:eastAsia="zh-CN" w:bidi="ar"/>
              </w:rPr>
              <w:t>16</w:t>
            </w:r>
          </w:p>
        </w:tc>
      </w:tr>
    </w:tbl>
    <w:p>
      <w:pPr>
        <w:pStyle w:val="7"/>
        <w:pageBreakBefore w:val="0"/>
        <w:numPr>
          <w:ilvl w:val="0"/>
          <w:numId w:val="3"/>
        </w:numPr>
        <w:kinsoku/>
        <w:overflowPunct/>
        <w:topLinePunct w:val="0"/>
        <w:bidi w:val="0"/>
        <w:spacing w:line="560" w:lineRule="exact"/>
        <w:outlineLvl w:val="1"/>
        <w:rPr>
          <w:rFonts w:hint="default" w:ascii="Times New Roman" w:hAnsi="Times New Roman" w:eastAsia="楷体_GB2312" w:cs="Times New Roman"/>
          <w:color w:val="auto"/>
          <w:highlight w:val="none"/>
        </w:rPr>
      </w:pPr>
      <w:bookmarkStart w:id="146" w:name="_Toc25955"/>
      <w:r>
        <w:rPr>
          <w:rFonts w:hint="default" w:ascii="Times New Roman" w:hAnsi="Times New Roman" w:eastAsia="楷体_GB2312" w:cs="Times New Roman"/>
          <w:color w:val="auto"/>
          <w:highlight w:val="none"/>
        </w:rPr>
        <w:t>项目效益情况</w:t>
      </w:r>
      <w:bookmarkEnd w:id="146"/>
    </w:p>
    <w:p>
      <w:pPr>
        <w:pageBreakBefore w:val="0"/>
        <w:kinsoku/>
        <w:overflowPunct/>
        <w:topLinePunct w:val="0"/>
        <w:bidi w:val="0"/>
        <w:spacing w:line="560" w:lineRule="exact"/>
        <w:rPr>
          <w:rFonts w:hint="default" w:ascii="Times New Roman" w:hAnsi="Times New Roman" w:cs="Times New Roman"/>
          <w:color w:val="auto"/>
          <w:highlight w:val="none"/>
          <w:lang w:eastAsia="zh-Hans"/>
        </w:rPr>
      </w:pPr>
      <w:r>
        <w:rPr>
          <w:rFonts w:hint="default" w:ascii="Times New Roman" w:hAnsi="Times New Roman" w:cs="Times New Roman"/>
          <w:color w:val="auto"/>
          <w:highlight w:val="none"/>
        </w:rPr>
        <w:t>项目</w:t>
      </w:r>
      <w:r>
        <w:rPr>
          <w:rFonts w:hint="default" w:ascii="Times New Roman" w:hAnsi="Times New Roman" w:cs="Times New Roman"/>
          <w:color w:val="auto"/>
          <w:highlight w:val="none"/>
          <w:lang w:eastAsia="zh-CN"/>
        </w:rPr>
        <w:t>效益</w:t>
      </w:r>
      <w:r>
        <w:rPr>
          <w:rFonts w:hint="default" w:ascii="Times New Roman" w:hAnsi="Times New Roman" w:cs="Times New Roman"/>
          <w:color w:val="auto"/>
          <w:highlight w:val="none"/>
        </w:rPr>
        <w:t>指标主要从</w:t>
      </w:r>
      <w:r>
        <w:rPr>
          <w:rFonts w:hint="default" w:ascii="Times New Roman" w:hAnsi="Times New Roman" w:cs="Times New Roman"/>
          <w:color w:val="auto"/>
          <w:highlight w:val="none"/>
          <w:lang w:eastAsia="zh-Hans"/>
        </w:rPr>
        <w:t>实施效益</w:t>
      </w:r>
      <w:r>
        <w:rPr>
          <w:rFonts w:hint="default" w:ascii="Times New Roman" w:hAnsi="Times New Roman" w:cs="Times New Roman"/>
          <w:color w:val="auto"/>
          <w:highlight w:val="none"/>
        </w:rPr>
        <w:t>方面考察。项目</w:t>
      </w:r>
      <w:r>
        <w:rPr>
          <w:rFonts w:hint="default" w:ascii="Times New Roman" w:hAnsi="Times New Roman" w:cs="Times New Roman"/>
          <w:color w:val="auto"/>
          <w:highlight w:val="none"/>
          <w:lang w:eastAsia="zh-CN"/>
        </w:rPr>
        <w:t>效益</w:t>
      </w:r>
      <w:r>
        <w:rPr>
          <w:rFonts w:hint="default" w:ascii="Times New Roman" w:hAnsi="Times New Roman" w:cs="Times New Roman"/>
          <w:color w:val="auto"/>
          <w:highlight w:val="none"/>
        </w:rPr>
        <w:t>类指标分值共计</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0分。本项目实际得分为</w:t>
      </w:r>
      <w:r>
        <w:rPr>
          <w:rFonts w:hint="default" w:ascii="Times New Roman" w:hAnsi="Times New Roman" w:cs="Times New Roman"/>
          <w:color w:val="auto"/>
          <w:highlight w:val="none"/>
          <w:lang w:val="en-US" w:eastAsia="zh-CN"/>
        </w:rPr>
        <w:t>20</w:t>
      </w:r>
      <w:r>
        <w:rPr>
          <w:rFonts w:hint="default" w:ascii="Times New Roman" w:hAnsi="Times New Roman" w:cs="Times New Roman"/>
          <w:color w:val="auto"/>
          <w:highlight w:val="none"/>
        </w:rPr>
        <w:t>分，得分率为</w:t>
      </w:r>
      <w:r>
        <w:rPr>
          <w:rFonts w:hint="default"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。各个指标的实际得分情况见下表</w:t>
      </w:r>
      <w:r>
        <w:rPr>
          <w:rFonts w:hint="default" w:ascii="Times New Roman" w:hAnsi="Times New Roman" w:cs="Times New Roman"/>
          <w:color w:val="auto"/>
          <w:highlight w:val="none"/>
          <w:lang w:eastAsia="zh-Hans"/>
        </w:rPr>
        <w:t>：</w:t>
      </w:r>
    </w:p>
    <w:p>
      <w:pPr>
        <w:pStyle w:val="24"/>
        <w:pageBreakBefore w:val="0"/>
        <w:kinsoku/>
        <w:overflowPunct/>
        <w:topLinePunct w:val="0"/>
        <w:bidi w:val="0"/>
        <w:spacing w:line="560" w:lineRule="exact"/>
        <w:ind w:firstLine="562"/>
        <w:rPr>
          <w:rFonts w:hint="default" w:ascii="Times New Roman" w:hAnsi="Times New Roman" w:cs="Times New Roman"/>
          <w:color w:val="auto"/>
          <w:sz w:val="28"/>
          <w:szCs w:val="32"/>
          <w:highlight w:val="none"/>
        </w:rPr>
      </w:pPr>
      <w:r>
        <w:rPr>
          <w:rFonts w:hint="default" w:ascii="Times New Roman" w:hAnsi="Times New Roman" w:cs="Times New Roman"/>
          <w:color w:val="auto"/>
          <w:sz w:val="28"/>
          <w:szCs w:val="32"/>
          <w:highlight w:val="none"/>
          <w:lang w:eastAsia="zh-CN"/>
        </w:rPr>
        <w:t>效益</w:t>
      </w:r>
      <w:r>
        <w:rPr>
          <w:rFonts w:hint="default" w:ascii="Times New Roman" w:hAnsi="Times New Roman" w:cs="Times New Roman"/>
          <w:color w:val="auto"/>
          <w:sz w:val="28"/>
          <w:szCs w:val="32"/>
          <w:highlight w:val="none"/>
        </w:rPr>
        <w:t>类指标得分情况表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6"/>
        <w:gridCol w:w="1732"/>
        <w:gridCol w:w="1732"/>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2" w:hRule="atLeast"/>
          <w:jc w:val="center"/>
        </w:trPr>
        <w:tc>
          <w:tcPr>
            <w:tcW w:w="2016" w:type="pct"/>
            <w:vAlign w:val="center"/>
          </w:tcPr>
          <w:p>
            <w:pPr>
              <w:keepNext w:val="0"/>
              <w:keepLines w:val="0"/>
              <w:pageBreakBefore w:val="0"/>
              <w:kinsoku/>
              <w:wordWrap/>
              <w:overflowPunct/>
              <w:topLinePunct w:val="0"/>
              <w:autoSpaceDE/>
              <w:autoSpaceDN/>
              <w:bidi w:val="0"/>
              <w:adjustRightInd/>
              <w:snapToGrid/>
              <w:spacing w:line="560" w:lineRule="exact"/>
              <w:ind w:firstLine="0" w:firstLineChars="0"/>
              <w:jc w:val="center"/>
              <w:rPr>
                <w:rFonts w:hint="default" w:ascii="Times New Roman" w:hAnsi="Times New Roman" w:cs="Times New Roman"/>
                <w:b/>
                <w:bCs/>
                <w:color w:val="auto"/>
                <w:sz w:val="22"/>
                <w:szCs w:val="22"/>
                <w:highlight w:val="none"/>
              </w:rPr>
            </w:pPr>
            <w:r>
              <w:rPr>
                <w:rFonts w:hint="default" w:ascii="Times New Roman" w:hAnsi="Times New Roman" w:cs="Times New Roman"/>
                <w:b/>
                <w:bCs/>
                <w:color w:val="auto"/>
                <w:sz w:val="22"/>
                <w:szCs w:val="22"/>
                <w:highlight w:val="none"/>
              </w:rPr>
              <w:t>评价指标</w:t>
            </w:r>
          </w:p>
        </w:tc>
        <w:tc>
          <w:tcPr>
            <w:tcW w:w="993" w:type="pct"/>
            <w:vAlign w:val="center"/>
          </w:tcPr>
          <w:p>
            <w:pPr>
              <w:keepNext w:val="0"/>
              <w:keepLines w:val="0"/>
              <w:pageBreakBefore w:val="0"/>
              <w:kinsoku/>
              <w:wordWrap/>
              <w:overflowPunct/>
              <w:topLinePunct w:val="0"/>
              <w:autoSpaceDE/>
              <w:autoSpaceDN/>
              <w:bidi w:val="0"/>
              <w:adjustRightInd/>
              <w:snapToGrid/>
              <w:spacing w:line="560" w:lineRule="exact"/>
              <w:ind w:firstLine="0" w:firstLineChars="0"/>
              <w:jc w:val="center"/>
              <w:rPr>
                <w:rFonts w:hint="default" w:ascii="Times New Roman" w:hAnsi="Times New Roman" w:cs="Times New Roman"/>
                <w:b/>
                <w:bCs/>
                <w:color w:val="auto"/>
                <w:sz w:val="22"/>
                <w:szCs w:val="22"/>
                <w:highlight w:val="none"/>
              </w:rPr>
            </w:pPr>
            <w:r>
              <w:rPr>
                <w:rFonts w:hint="default" w:ascii="Times New Roman" w:hAnsi="Times New Roman" w:cs="Times New Roman"/>
                <w:b/>
                <w:bCs/>
                <w:color w:val="auto"/>
                <w:sz w:val="22"/>
                <w:szCs w:val="22"/>
                <w:highlight w:val="none"/>
              </w:rPr>
              <w:t>分值</w:t>
            </w:r>
          </w:p>
        </w:tc>
        <w:tc>
          <w:tcPr>
            <w:tcW w:w="993" w:type="pct"/>
            <w:vAlign w:val="center"/>
          </w:tcPr>
          <w:p>
            <w:pPr>
              <w:keepNext w:val="0"/>
              <w:keepLines w:val="0"/>
              <w:pageBreakBefore w:val="0"/>
              <w:kinsoku/>
              <w:wordWrap/>
              <w:overflowPunct/>
              <w:topLinePunct w:val="0"/>
              <w:autoSpaceDE/>
              <w:autoSpaceDN/>
              <w:bidi w:val="0"/>
              <w:adjustRightInd/>
              <w:snapToGrid/>
              <w:spacing w:line="560" w:lineRule="exact"/>
              <w:ind w:firstLine="0" w:firstLineChars="0"/>
              <w:jc w:val="center"/>
              <w:rPr>
                <w:rFonts w:hint="default" w:ascii="Times New Roman" w:hAnsi="Times New Roman" w:cs="Times New Roman"/>
                <w:b/>
                <w:bCs/>
                <w:color w:val="auto"/>
                <w:sz w:val="22"/>
                <w:szCs w:val="22"/>
                <w:highlight w:val="none"/>
              </w:rPr>
            </w:pPr>
            <w:r>
              <w:rPr>
                <w:rFonts w:hint="default" w:ascii="Times New Roman" w:hAnsi="Times New Roman" w:cs="Times New Roman"/>
                <w:b/>
                <w:bCs/>
                <w:color w:val="auto"/>
                <w:sz w:val="22"/>
                <w:szCs w:val="22"/>
                <w:highlight w:val="none"/>
              </w:rPr>
              <w:t>得分</w:t>
            </w:r>
          </w:p>
        </w:tc>
        <w:tc>
          <w:tcPr>
            <w:tcW w:w="996" w:type="pct"/>
            <w:vAlign w:val="center"/>
          </w:tcPr>
          <w:p>
            <w:pPr>
              <w:keepNext w:val="0"/>
              <w:keepLines w:val="0"/>
              <w:pageBreakBefore w:val="0"/>
              <w:kinsoku/>
              <w:wordWrap/>
              <w:overflowPunct/>
              <w:topLinePunct w:val="0"/>
              <w:autoSpaceDE/>
              <w:autoSpaceDN/>
              <w:bidi w:val="0"/>
              <w:adjustRightInd/>
              <w:snapToGrid/>
              <w:spacing w:line="560" w:lineRule="exact"/>
              <w:ind w:firstLine="0" w:firstLineChars="0"/>
              <w:jc w:val="center"/>
              <w:rPr>
                <w:rFonts w:hint="default" w:ascii="Times New Roman" w:hAnsi="Times New Roman" w:cs="Times New Roman"/>
                <w:b/>
                <w:bCs/>
                <w:color w:val="auto"/>
                <w:sz w:val="22"/>
                <w:szCs w:val="22"/>
                <w:highlight w:val="none"/>
              </w:rPr>
            </w:pPr>
            <w:r>
              <w:rPr>
                <w:rFonts w:hint="default" w:ascii="Times New Roman" w:hAnsi="Times New Roman" w:cs="Times New Roman"/>
                <w:b/>
                <w:bCs/>
                <w:color w:val="auto"/>
                <w:sz w:val="22"/>
                <w:szCs w:val="22"/>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4" w:hRule="atLeast"/>
          <w:jc w:val="center"/>
        </w:trPr>
        <w:tc>
          <w:tcPr>
            <w:tcW w:w="2016"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cs="Times New Roman"/>
                <w:color w:val="auto"/>
                <w:kern w:val="2"/>
                <w:sz w:val="24"/>
                <w:szCs w:val="24"/>
                <w:highlight w:val="none"/>
                <w:lang w:val="en-US" w:eastAsia="zh-CN" w:bidi="ar-SA"/>
              </w:rPr>
              <w:t>负债本金减少额</w:t>
            </w:r>
          </w:p>
        </w:tc>
        <w:tc>
          <w:tcPr>
            <w:tcW w:w="993"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cs="Times New Roman"/>
                <w:color w:val="auto"/>
                <w:sz w:val="24"/>
                <w:highlight w:val="none"/>
                <w:lang w:val="en-US" w:eastAsia="zh-CN"/>
              </w:rPr>
              <w:t>20</w:t>
            </w:r>
          </w:p>
        </w:tc>
        <w:tc>
          <w:tcPr>
            <w:tcW w:w="993"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cs="Times New Roman"/>
                <w:color w:val="auto"/>
                <w:sz w:val="24"/>
                <w:highlight w:val="none"/>
                <w:lang w:val="en-US" w:eastAsia="zh-CN"/>
              </w:rPr>
              <w:t>20.00</w:t>
            </w:r>
          </w:p>
        </w:tc>
        <w:tc>
          <w:tcPr>
            <w:tcW w:w="996" w:type="pct"/>
            <w:vAlign w:val="center"/>
          </w:tcPr>
          <w:p>
            <w:pPr>
              <w:pageBreakBefore w:val="0"/>
              <w:kinsoku/>
              <w:overflowPunct/>
              <w:topLinePunct w:val="0"/>
              <w:bidi w:val="0"/>
              <w:spacing w:line="560" w:lineRule="exact"/>
              <w:ind w:firstLine="0" w:firstLine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cs="Times New Roman"/>
                <w:color w:val="auto"/>
                <w:sz w:val="24"/>
                <w:highlight w:val="no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1" w:hRule="atLeast"/>
          <w:jc w:val="center"/>
        </w:trPr>
        <w:tc>
          <w:tcPr>
            <w:tcW w:w="2016"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小计</w:t>
            </w:r>
          </w:p>
        </w:tc>
        <w:tc>
          <w:tcPr>
            <w:tcW w:w="993"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20</w:t>
            </w:r>
          </w:p>
        </w:tc>
        <w:tc>
          <w:tcPr>
            <w:tcW w:w="993"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20.00</w:t>
            </w:r>
          </w:p>
        </w:tc>
        <w:tc>
          <w:tcPr>
            <w:tcW w:w="996" w:type="pct"/>
            <w:vAlign w:val="center"/>
          </w:tcPr>
          <w:p>
            <w:pPr>
              <w:pageBreakBefore w:val="0"/>
              <w:kinsoku/>
              <w:overflowPunct/>
              <w:topLinePunct w:val="0"/>
              <w:bidi w:val="0"/>
              <w:spacing w:line="560" w:lineRule="exact"/>
              <w:ind w:firstLine="0" w:firstLineChars="0"/>
              <w:jc w:val="center"/>
              <w:rPr>
                <w:rFonts w:hint="default" w:ascii="Times New Roman" w:hAnsi="Times New Roman" w:cs="Times New Roman"/>
                <w:b/>
                <w:bCs/>
                <w:color w:val="auto"/>
                <w:sz w:val="24"/>
                <w:highlight w:val="none"/>
                <w:lang w:val="en-US" w:eastAsia="zh-CN"/>
              </w:rPr>
            </w:pPr>
            <w:r>
              <w:rPr>
                <w:rFonts w:hint="default" w:ascii="Times New Roman" w:hAnsi="Times New Roman" w:cs="Times New Roman"/>
                <w:b/>
                <w:bCs/>
                <w:color w:val="auto"/>
                <w:sz w:val="24"/>
                <w:highlight w:val="none"/>
                <w:lang w:val="en-US" w:eastAsia="zh-CN"/>
              </w:rPr>
              <w:t>100.00%</w:t>
            </w:r>
          </w:p>
        </w:tc>
      </w:tr>
    </w:tbl>
    <w:p>
      <w:pPr>
        <w:pageBreakBefore w:val="0"/>
        <w:kinsoku/>
        <w:overflowPunct/>
        <w:topLinePunct w:val="0"/>
        <w:bidi w:val="0"/>
        <w:spacing w:line="560" w:lineRule="exact"/>
        <w:ind w:firstLine="643"/>
        <w:outlineLvl w:val="2"/>
        <w:rPr>
          <w:rFonts w:hint="default" w:ascii="Times New Roman" w:hAnsi="Times New Roman" w:cs="Times New Roman"/>
          <w:b/>
          <w:bCs/>
          <w:color w:val="auto"/>
          <w:highlight w:val="none"/>
          <w:lang w:val="en-US" w:eastAsia="zh-CN"/>
        </w:rPr>
      </w:pPr>
      <w:bookmarkStart w:id="147" w:name="_Toc23515"/>
      <w:bookmarkStart w:id="148" w:name="_Toc28472"/>
      <w:bookmarkStart w:id="149" w:name="_Toc29635"/>
      <w:bookmarkStart w:id="150" w:name="_Toc17630"/>
      <w:bookmarkStart w:id="151" w:name="_Toc31058"/>
      <w:r>
        <w:rPr>
          <w:rFonts w:hint="default" w:ascii="Times New Roman" w:hAnsi="Times New Roman" w:cs="Times New Roman"/>
          <w:b/>
          <w:bCs/>
          <w:color w:val="auto"/>
          <w:highlight w:val="none"/>
          <w:lang w:val="en-US" w:eastAsia="zh-CN"/>
        </w:rPr>
        <w:t>4.4.1负债本金减少额</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指标解释：</w:t>
      </w:r>
      <w:r>
        <w:rPr>
          <w:rFonts w:hint="default" w:ascii="Times New Roman" w:hAnsi="Times New Roman" w:cs="Times New Roman"/>
          <w:color w:val="auto"/>
          <w:highlight w:val="none"/>
          <w:lang w:val="en-US" w:eastAsia="zh-CN"/>
        </w:rPr>
        <w:t>考察项目实施后负债减少情况。</w:t>
      </w:r>
    </w:p>
    <w:p>
      <w:pPr>
        <w:pageBreakBefore w:val="0"/>
        <w:kinsoku/>
        <w:overflowPunct/>
        <w:topLinePunct w:val="0"/>
        <w:bidi w:val="0"/>
        <w:spacing w:line="560" w:lineRule="exact"/>
        <w:ind w:firstLine="643"/>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评价要点：</w:t>
      </w:r>
      <w:r>
        <w:rPr>
          <w:rFonts w:hint="default" w:ascii="Times New Roman" w:hAnsi="Times New Roman" w:cs="Times New Roman"/>
          <w:color w:val="auto"/>
          <w:highlight w:val="none"/>
        </w:rPr>
        <w:t>项目实施降低了交通运输厅负债余额</w:t>
      </w:r>
      <w:r>
        <w:rPr>
          <w:rFonts w:hint="default" w:ascii="Times New Roman" w:hAnsi="Times New Roman" w:cs="Times New Roman"/>
          <w:color w:val="auto"/>
          <w:highlight w:val="none"/>
          <w:lang w:val="en-US" w:eastAsia="zh-CN"/>
        </w:rPr>
        <w:t>。</w:t>
      </w:r>
    </w:p>
    <w:p>
      <w:pPr>
        <w:pageBreakBefore w:val="0"/>
        <w:kinsoku/>
        <w:overflowPunct/>
        <w:topLinePunct w:val="0"/>
        <w:bidi w:val="0"/>
        <w:spacing w:line="560" w:lineRule="exact"/>
        <w:ind w:firstLine="643"/>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评分标准：</w:t>
      </w:r>
      <w:r>
        <w:rPr>
          <w:rFonts w:hint="default" w:ascii="Times New Roman" w:hAnsi="Times New Roman" w:cs="Times New Roman"/>
          <w:color w:val="auto"/>
          <w:highlight w:val="none"/>
          <w:lang w:val="en-US" w:eastAsia="zh-CN"/>
        </w:rPr>
        <w:t>达到目标值得满分，否则不得分。</w:t>
      </w:r>
    </w:p>
    <w:p>
      <w:pPr>
        <w:pStyle w:val="2"/>
        <w:pageBreakBefore w:val="0"/>
        <w:kinsoku/>
        <w:overflowPunct/>
        <w:topLinePunct w:val="0"/>
        <w:bidi w:val="0"/>
        <w:spacing w:line="560" w:lineRule="exact"/>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highlight w:val="none"/>
          <w:lang w:val="en-US" w:eastAsia="zh-CN"/>
        </w:rPr>
        <w:t>绩效分析：</w:t>
      </w:r>
      <w:r>
        <w:rPr>
          <w:rFonts w:hint="default" w:ascii="Times New Roman" w:hAnsi="Times New Roman" w:eastAsia="仿宋_GB2312" w:cs="Times New Roman"/>
          <w:color w:val="auto"/>
          <w:kern w:val="2"/>
          <w:sz w:val="32"/>
          <w:szCs w:val="24"/>
          <w:highlight w:val="none"/>
          <w:lang w:val="en-US" w:eastAsia="zh-CN" w:bidi="ar-SA"/>
        </w:rPr>
        <w:t>202</w:t>
      </w:r>
      <w:r>
        <w:rPr>
          <w:rFonts w:hint="default" w:ascii="Times New Roman" w:hAnsi="Times New Roman" w:cs="Times New Roman"/>
          <w:color w:val="auto"/>
          <w:kern w:val="2"/>
          <w:sz w:val="32"/>
          <w:szCs w:val="24"/>
          <w:highlight w:val="none"/>
          <w:lang w:val="en-US" w:eastAsia="zh-CN" w:bidi="ar-SA"/>
        </w:rPr>
        <w:t>2</w:t>
      </w:r>
      <w:r>
        <w:rPr>
          <w:rFonts w:hint="default" w:ascii="Times New Roman" w:hAnsi="Times New Roman" w:eastAsia="仿宋_GB2312" w:cs="Times New Roman"/>
          <w:color w:val="auto"/>
          <w:kern w:val="2"/>
          <w:sz w:val="32"/>
          <w:szCs w:val="24"/>
          <w:highlight w:val="none"/>
          <w:lang w:val="en-US" w:eastAsia="zh-CN" w:bidi="ar-SA"/>
        </w:rPr>
        <w:t>年末高速公路建设贷款债务余额为392</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691.21万元，202</w:t>
      </w:r>
      <w:r>
        <w:rPr>
          <w:rFonts w:hint="default" w:ascii="Times New Roman" w:hAnsi="Times New Roman"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年实际偿还本金3</w:t>
      </w:r>
      <w:r>
        <w:rPr>
          <w:rFonts w:hint="default" w:ascii="Times New Roman" w:hAnsi="Times New Roman" w:cs="Times New Roman"/>
          <w:color w:val="auto"/>
          <w:kern w:val="2"/>
          <w:sz w:val="32"/>
          <w:szCs w:val="24"/>
          <w:highlight w:val="none"/>
          <w:lang w:val="en-US" w:eastAsia="zh-CN" w:bidi="ar-SA"/>
        </w:rPr>
        <w:t>2</w:t>
      </w:r>
      <w:r>
        <w:rPr>
          <w:rFonts w:hint="default" w:ascii="Times New Roman" w:hAnsi="Times New Roman" w:cs="Times New Roman"/>
          <w:color w:val="auto"/>
          <w:kern w:val="2"/>
          <w:sz w:val="32"/>
          <w:szCs w:val="24"/>
          <w:highlight w:val="none"/>
          <w:lang w:val="en" w:eastAsia="zh-CN" w:bidi="ar-SA"/>
        </w:rPr>
        <w:t>,</w:t>
      </w:r>
      <w:r>
        <w:rPr>
          <w:rFonts w:hint="default" w:ascii="Times New Roman" w:hAnsi="Times New Roman" w:cs="Times New Roman"/>
          <w:color w:val="auto"/>
          <w:kern w:val="2"/>
          <w:sz w:val="32"/>
          <w:szCs w:val="24"/>
          <w:highlight w:val="none"/>
          <w:lang w:val="en-US" w:eastAsia="zh-CN" w:bidi="ar-SA"/>
        </w:rPr>
        <w:t>144.80</w:t>
      </w:r>
      <w:r>
        <w:rPr>
          <w:rFonts w:hint="default" w:ascii="Times New Roman" w:hAnsi="Times New Roman" w:eastAsia="仿宋_GB2312" w:cs="Times New Roman"/>
          <w:color w:val="auto"/>
          <w:kern w:val="2"/>
          <w:sz w:val="32"/>
          <w:szCs w:val="24"/>
          <w:highlight w:val="none"/>
          <w:lang w:val="en-US" w:eastAsia="zh-CN" w:bidi="ar-SA"/>
        </w:rPr>
        <w:t>万元，202</w:t>
      </w:r>
      <w:r>
        <w:rPr>
          <w:rFonts w:hint="default" w:ascii="Times New Roman" w:hAnsi="Times New Roman"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年末高速公路建设贷款债务余额为</w:t>
      </w:r>
      <w:r>
        <w:rPr>
          <w:rFonts w:hint="default" w:ascii="Times New Roman" w:hAnsi="Times New Roman" w:cs="Times New Roman"/>
          <w:color w:val="auto"/>
          <w:kern w:val="2"/>
          <w:sz w:val="32"/>
          <w:szCs w:val="24"/>
          <w:highlight w:val="none"/>
          <w:lang w:val="en-US" w:eastAsia="zh-CN" w:bidi="ar-SA"/>
        </w:rPr>
        <w:t>360,5</w:t>
      </w:r>
      <w:r>
        <w:rPr>
          <w:rFonts w:hint="default" w:cs="Times New Roman"/>
          <w:color w:val="auto"/>
          <w:kern w:val="2"/>
          <w:sz w:val="32"/>
          <w:szCs w:val="24"/>
          <w:highlight w:val="none"/>
          <w:lang w:val="en" w:eastAsia="zh-CN" w:bidi="ar-SA"/>
        </w:rPr>
        <w:t>46.41</w:t>
      </w:r>
      <w:r>
        <w:rPr>
          <w:rFonts w:hint="default" w:ascii="Times New Roman" w:hAnsi="Times New Roman" w:eastAsia="仿宋_GB2312" w:cs="Times New Roman"/>
          <w:color w:val="auto"/>
          <w:kern w:val="2"/>
          <w:sz w:val="32"/>
          <w:szCs w:val="24"/>
          <w:highlight w:val="none"/>
          <w:lang w:val="en-US" w:eastAsia="zh-CN" w:bidi="ar-SA"/>
        </w:rPr>
        <w:t>万元，项目实施降低了</w:t>
      </w:r>
      <w:r>
        <w:rPr>
          <w:rFonts w:hint="eastAsia" w:ascii="Times New Roman" w:hAnsi="Times New Roman" w:cs="Times New Roman"/>
          <w:color w:val="auto"/>
          <w:kern w:val="2"/>
          <w:sz w:val="32"/>
          <w:szCs w:val="24"/>
          <w:highlight w:val="none"/>
          <w:lang w:val="en-US" w:eastAsia="zh-CN" w:bidi="ar-SA"/>
        </w:rPr>
        <w:t>海南省</w:t>
      </w:r>
      <w:r>
        <w:rPr>
          <w:rFonts w:hint="default" w:ascii="Times New Roman" w:hAnsi="Times New Roman" w:eastAsia="仿宋_GB2312" w:cs="Times New Roman"/>
          <w:color w:val="auto"/>
          <w:kern w:val="2"/>
          <w:sz w:val="32"/>
          <w:szCs w:val="24"/>
          <w:highlight w:val="none"/>
          <w:lang w:val="en-US" w:eastAsia="zh-CN" w:bidi="ar-SA"/>
        </w:rPr>
        <w:t>交通运输厅负债余额</w:t>
      </w:r>
      <w:r>
        <w:rPr>
          <w:rFonts w:hint="eastAsia" w:cs="Times New Roman"/>
          <w:color w:val="auto"/>
          <w:kern w:val="2"/>
          <w:sz w:val="32"/>
          <w:szCs w:val="24"/>
          <w:highlight w:val="none"/>
          <w:lang w:val="en-US" w:eastAsia="zh-CN" w:bidi="ar-SA"/>
        </w:rPr>
        <w:t>超过30,000.00万元</w:t>
      </w:r>
      <w:r>
        <w:rPr>
          <w:rFonts w:hint="default" w:ascii="Times New Roman" w:hAnsi="Times New Roman" w:eastAsia="仿宋_GB2312" w:cs="Times New Roman"/>
          <w:color w:val="auto"/>
          <w:kern w:val="2"/>
          <w:sz w:val="32"/>
          <w:szCs w:val="24"/>
          <w:highlight w:val="none"/>
          <w:lang w:val="en-US" w:eastAsia="zh-CN" w:bidi="ar-SA"/>
        </w:rPr>
        <w:t>，本指标</w:t>
      </w:r>
      <w:r>
        <w:rPr>
          <w:rFonts w:hint="eastAsia" w:cs="Times New Roman"/>
          <w:color w:val="auto"/>
          <w:kern w:val="2"/>
          <w:sz w:val="32"/>
          <w:szCs w:val="24"/>
          <w:highlight w:val="none"/>
          <w:lang w:val="en-US" w:eastAsia="zh-CN" w:bidi="ar-SA"/>
        </w:rPr>
        <w:t>得满分</w:t>
      </w:r>
      <w:r>
        <w:rPr>
          <w:rFonts w:hint="default" w:ascii="Times New Roman" w:hAnsi="Times New Roman" w:eastAsia="仿宋_GB2312" w:cs="Times New Roman"/>
          <w:color w:val="auto"/>
          <w:kern w:val="2"/>
          <w:sz w:val="32"/>
          <w:szCs w:val="24"/>
          <w:highlight w:val="none"/>
          <w:lang w:val="en-US" w:eastAsia="zh-CN" w:bidi="ar-SA"/>
        </w:rPr>
        <w:t>。</w:t>
      </w:r>
    </w:p>
    <w:bookmarkEnd w:id="147"/>
    <w:bookmarkEnd w:id="148"/>
    <w:bookmarkEnd w:id="149"/>
    <w:bookmarkEnd w:id="150"/>
    <w:bookmarkEnd w:id="151"/>
    <w:p>
      <w:pPr>
        <w:pStyle w:val="7"/>
        <w:pageBreakBefore w:val="0"/>
        <w:numPr>
          <w:ilvl w:val="0"/>
          <w:numId w:val="5"/>
        </w:numPr>
        <w:kinsoku/>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152" w:name="_Toc15784"/>
      <w:r>
        <w:rPr>
          <w:rFonts w:hint="default" w:ascii="Times New Roman" w:hAnsi="Times New Roman" w:eastAsia="Heiti SC Medium" w:cs="Times New Roman"/>
          <w:b/>
          <w:color w:val="auto"/>
          <w:highlight w:val="none"/>
        </w:rPr>
        <w:t>主要经验及做法</w:t>
      </w:r>
      <w:bookmarkEnd w:id="152"/>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9"/>
        <w:rPr>
          <w:rFonts w:hint="default" w:ascii="Times New Roman" w:hAnsi="Times New Roman" w:cs="Times New Roman"/>
          <w:color w:val="auto"/>
          <w:highlight w:val="none"/>
        </w:rPr>
      </w:pPr>
      <w:r>
        <w:rPr>
          <w:rFonts w:hint="default" w:ascii="Times New Roman" w:hAnsi="Times New Roman" w:eastAsia="仿宋_GB2312" w:cs="Times New Roman"/>
          <w:b/>
          <w:bCs/>
          <w:color w:val="auto"/>
          <w:kern w:val="2"/>
          <w:sz w:val="32"/>
          <w:szCs w:val="24"/>
          <w:highlight w:val="none"/>
          <w:lang w:val="en-US" w:eastAsia="zh-CN" w:bidi="ar-SA"/>
        </w:rPr>
        <w:t>1.有效控制成本。</w:t>
      </w:r>
      <w:r>
        <w:rPr>
          <w:rFonts w:hint="default" w:ascii="Times New Roman" w:hAnsi="Times New Roman" w:eastAsia="仿宋_GB2312" w:cs="Times New Roman"/>
          <w:color w:val="auto"/>
          <w:kern w:val="2"/>
          <w:sz w:val="32"/>
          <w:szCs w:val="24"/>
          <w:highlight w:val="none"/>
          <w:lang w:val="en-US" w:eastAsia="zh-CN" w:bidi="ar-SA"/>
        </w:rPr>
        <w:t>项目按照预算资金支付进度实现了有效的成本控制。其主要做法是严格按照资金管理规定执行，并通过合理的内控制度控制项目投资。</w:t>
      </w:r>
    </w:p>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firstLine="642" w:firstLineChars="200"/>
        <w:textAlignment w:val="auto"/>
        <w:rPr>
          <w:rFonts w:hint="default" w:ascii="Times New Roman" w:hAnsi="Times New Roman" w:cs="Times New Roman"/>
          <w:color w:val="auto"/>
          <w:kern w:val="2"/>
          <w:sz w:val="32"/>
          <w:szCs w:val="24"/>
          <w:highlight w:val="none"/>
          <w:lang w:val="en-US" w:eastAsia="zh-CN" w:bidi="ar-SA"/>
        </w:rPr>
      </w:pPr>
      <w:r>
        <w:rPr>
          <w:rFonts w:hint="default" w:ascii="Times New Roman" w:hAnsi="Times New Roman" w:eastAsia="仿宋_GB2312" w:cs="Times New Roman"/>
          <w:b/>
          <w:bCs/>
          <w:color w:val="auto"/>
          <w:kern w:val="2"/>
          <w:sz w:val="32"/>
          <w:szCs w:val="24"/>
          <w:highlight w:val="none"/>
          <w:lang w:val="en-US" w:eastAsia="zh-CN" w:bidi="ar-SA"/>
        </w:rPr>
        <w:t>2.</w:t>
      </w:r>
      <w:r>
        <w:rPr>
          <w:rFonts w:hint="default" w:ascii="Times New Roman" w:hAnsi="Times New Roman" w:cs="Times New Roman"/>
          <w:b/>
          <w:bCs/>
          <w:color w:val="auto"/>
          <w:kern w:val="2"/>
          <w:sz w:val="32"/>
          <w:szCs w:val="24"/>
          <w:highlight w:val="none"/>
          <w:lang w:val="en-US" w:eastAsia="zh-CN" w:bidi="ar-SA"/>
        </w:rPr>
        <w:t>及时足额还款，避免逾期利息。</w:t>
      </w:r>
      <w:r>
        <w:rPr>
          <w:rFonts w:hint="default" w:ascii="Times New Roman" w:hAnsi="Times New Roman" w:eastAsia="仿宋_GB2312" w:cs="Times New Roman"/>
          <w:color w:val="auto"/>
          <w:kern w:val="2"/>
          <w:sz w:val="32"/>
          <w:szCs w:val="24"/>
          <w:highlight w:val="none"/>
          <w:lang w:val="en-US" w:eastAsia="zh-CN" w:bidi="ar-SA"/>
        </w:rPr>
        <w:t>海南省交通运输厅在</w:t>
      </w:r>
      <w:r>
        <w:rPr>
          <w:rFonts w:hint="default" w:ascii="Times New Roman" w:hAnsi="Times New Roman" w:cs="Times New Roman"/>
          <w:color w:val="auto"/>
          <w:kern w:val="2"/>
          <w:sz w:val="32"/>
          <w:szCs w:val="24"/>
          <w:highlight w:val="none"/>
          <w:lang w:val="en-US" w:eastAsia="zh-CN" w:bidi="ar-SA"/>
        </w:rPr>
        <w:t>2023年高速公路建设偿债项目上，四个季度的本息均严格按照规定及时足额进行</w:t>
      </w:r>
      <w:r>
        <w:rPr>
          <w:rFonts w:hint="eastAsia" w:ascii="Times New Roman" w:hAnsi="Times New Roman" w:cs="Times New Roman"/>
          <w:color w:val="auto"/>
          <w:kern w:val="2"/>
          <w:sz w:val="32"/>
          <w:szCs w:val="24"/>
          <w:highlight w:val="none"/>
          <w:lang w:val="en-US" w:eastAsia="zh-CN" w:bidi="ar-SA"/>
        </w:rPr>
        <w:t>支付</w:t>
      </w:r>
      <w:r>
        <w:rPr>
          <w:rFonts w:hint="default" w:ascii="Times New Roman" w:hAnsi="Times New Roman" w:cs="Times New Roman"/>
          <w:color w:val="auto"/>
          <w:kern w:val="2"/>
          <w:sz w:val="32"/>
          <w:szCs w:val="24"/>
          <w:highlight w:val="none"/>
          <w:lang w:val="en-US" w:eastAsia="zh-CN" w:bidi="ar-SA"/>
        </w:rPr>
        <w:t>，无延迟付款、支付偿债金额不足等情况发生。及时足额还款，体现了诚信履约</w:t>
      </w:r>
      <w:r>
        <w:rPr>
          <w:rFonts w:hint="default" w:ascii="Times New Roman" w:hAnsi="Times New Roman" w:cs="Times New Roman"/>
          <w:b w:val="0"/>
          <w:bCs w:val="0"/>
          <w:color w:val="auto"/>
          <w:kern w:val="2"/>
          <w:sz w:val="32"/>
          <w:szCs w:val="24"/>
          <w:highlight w:val="none"/>
          <w:lang w:val="en-US" w:eastAsia="zh-CN" w:bidi="ar-SA"/>
        </w:rPr>
        <w:t>，避免了</w:t>
      </w:r>
      <w:r>
        <w:rPr>
          <w:rFonts w:hint="eastAsia" w:cs="Times New Roman"/>
          <w:b w:val="0"/>
          <w:bCs w:val="0"/>
          <w:color w:val="auto"/>
          <w:kern w:val="2"/>
          <w:sz w:val="32"/>
          <w:szCs w:val="24"/>
          <w:highlight w:val="none"/>
          <w:lang w:val="en-US" w:eastAsia="zh-CN" w:bidi="ar-SA"/>
        </w:rPr>
        <w:t>逾</w:t>
      </w:r>
      <w:r>
        <w:rPr>
          <w:rFonts w:hint="default" w:ascii="Times New Roman" w:hAnsi="Times New Roman" w:cs="Times New Roman"/>
          <w:b w:val="0"/>
          <w:bCs w:val="0"/>
          <w:color w:val="auto"/>
          <w:kern w:val="2"/>
          <w:sz w:val="32"/>
          <w:szCs w:val="24"/>
          <w:highlight w:val="none"/>
          <w:lang w:val="en-US" w:eastAsia="zh-CN" w:bidi="ar-SA"/>
        </w:rPr>
        <w:t>期利息发生</w:t>
      </w:r>
      <w:r>
        <w:rPr>
          <w:rFonts w:hint="default" w:ascii="Times New Roman" w:hAnsi="Times New Roman" w:cs="Times New Roman"/>
          <w:color w:val="auto"/>
          <w:kern w:val="2"/>
          <w:sz w:val="32"/>
          <w:szCs w:val="24"/>
          <w:highlight w:val="none"/>
          <w:lang w:val="en-US" w:eastAsia="zh-CN" w:bidi="ar-SA"/>
        </w:rPr>
        <w:t>。</w:t>
      </w:r>
    </w:p>
    <w:p>
      <w:pPr>
        <w:pStyle w:val="2"/>
        <w:pageBreakBefore w:val="0"/>
        <w:kinsoku/>
        <w:overflowPunct/>
        <w:topLinePunct w:val="0"/>
        <w:bidi w:val="0"/>
        <w:spacing w:line="560" w:lineRule="exact"/>
        <w:rPr>
          <w:rFonts w:hint="default" w:ascii="Times New Roman" w:hAnsi="Times New Roman" w:cs="Times New Roman"/>
          <w:highlight w:val="none"/>
          <w:lang w:val="en-US" w:eastAsia="zh-CN"/>
        </w:rPr>
      </w:pPr>
      <w:r>
        <w:rPr>
          <w:rFonts w:hint="default" w:ascii="Times New Roman" w:hAnsi="Times New Roman" w:eastAsia="仿宋_GB2312" w:cs="Times New Roman"/>
          <w:b/>
          <w:bCs/>
          <w:color w:val="auto"/>
          <w:kern w:val="2"/>
          <w:sz w:val="32"/>
          <w:szCs w:val="24"/>
          <w:highlight w:val="none"/>
          <w:lang w:val="en-US" w:eastAsia="zh-CN" w:bidi="ar-SA"/>
        </w:rPr>
        <w:t>3.执行率高，支付手续完整。</w:t>
      </w:r>
      <w:r>
        <w:rPr>
          <w:rFonts w:hint="default" w:ascii="Times New Roman" w:hAnsi="Times New Roman" w:eastAsia="仿宋_GB2312" w:cs="Times New Roman"/>
          <w:color w:val="auto"/>
          <w:kern w:val="2"/>
          <w:sz w:val="32"/>
          <w:szCs w:val="24"/>
          <w:highlight w:val="none"/>
          <w:lang w:val="en-US" w:eastAsia="zh-CN" w:bidi="ar-SA"/>
        </w:rPr>
        <w:t>202</w:t>
      </w:r>
      <w:r>
        <w:rPr>
          <w:rFonts w:hint="default" w:ascii="Times New Roman" w:hAnsi="Times New Roman"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年高速公路建设偿债项目实际到位资金48</w:t>
      </w:r>
      <w:r>
        <w:rPr>
          <w:rFonts w:hint="default" w:ascii="Times New Roman" w:hAnsi="Times New Roman" w:cs="Times New Roman"/>
          <w:color w:val="auto"/>
          <w:kern w:val="2"/>
          <w:sz w:val="32"/>
          <w:szCs w:val="24"/>
          <w:highlight w:val="none"/>
          <w:lang w:val="en" w:eastAsia="zh-CN" w:bidi="ar-SA"/>
        </w:rPr>
        <w:t>,</w:t>
      </w:r>
      <w:r>
        <w:rPr>
          <w:rFonts w:hint="default" w:ascii="Times New Roman" w:hAnsi="Times New Roman" w:cs="Times New Roman"/>
          <w:color w:val="auto"/>
          <w:kern w:val="2"/>
          <w:sz w:val="32"/>
          <w:szCs w:val="24"/>
          <w:highlight w:val="none"/>
          <w:lang w:val="en-US" w:eastAsia="zh-CN" w:bidi="ar-SA"/>
        </w:rPr>
        <w:t>929</w:t>
      </w:r>
      <w:r>
        <w:rPr>
          <w:rFonts w:hint="default" w:ascii="Times New Roman" w:hAnsi="Times New Roman" w:cs="Times New Roman"/>
          <w:color w:val="auto"/>
          <w:kern w:val="2"/>
          <w:sz w:val="32"/>
          <w:szCs w:val="24"/>
          <w:highlight w:val="none"/>
          <w:lang w:val="en" w:eastAsia="zh-CN" w:bidi="ar-SA"/>
        </w:rPr>
        <w:t>.00</w:t>
      </w:r>
      <w:r>
        <w:rPr>
          <w:rFonts w:hint="default" w:ascii="Times New Roman" w:hAnsi="Times New Roman" w:eastAsia="仿宋_GB2312" w:cs="Times New Roman"/>
          <w:color w:val="auto"/>
          <w:kern w:val="2"/>
          <w:sz w:val="32"/>
          <w:szCs w:val="24"/>
          <w:highlight w:val="none"/>
          <w:lang w:val="en-US" w:eastAsia="zh-CN" w:bidi="ar-SA"/>
        </w:rPr>
        <w:t>万元，202</w:t>
      </w:r>
      <w:r>
        <w:rPr>
          <w:rFonts w:hint="default" w:ascii="Times New Roman" w:hAnsi="Times New Roman" w:cs="Times New Roman"/>
          <w:color w:val="auto"/>
          <w:kern w:val="2"/>
          <w:sz w:val="32"/>
          <w:szCs w:val="24"/>
          <w:highlight w:val="none"/>
          <w:lang w:val="en-US" w:eastAsia="zh-CN" w:bidi="ar-SA"/>
        </w:rPr>
        <w:t>3</w:t>
      </w:r>
      <w:r>
        <w:rPr>
          <w:rFonts w:hint="default" w:ascii="Times New Roman" w:hAnsi="Times New Roman" w:eastAsia="仿宋_GB2312" w:cs="Times New Roman"/>
          <w:color w:val="auto"/>
          <w:kern w:val="2"/>
          <w:sz w:val="32"/>
          <w:szCs w:val="24"/>
          <w:highlight w:val="none"/>
          <w:lang w:val="en-US" w:eastAsia="zh-CN" w:bidi="ar-SA"/>
        </w:rPr>
        <w:t>年实际支出48</w:t>
      </w:r>
      <w:r>
        <w:rPr>
          <w:rFonts w:hint="default" w:ascii="Times New Roman" w:hAnsi="Times New Roman" w:cs="Times New Roman"/>
          <w:color w:val="auto"/>
          <w:kern w:val="2"/>
          <w:sz w:val="32"/>
          <w:szCs w:val="24"/>
          <w:highlight w:val="none"/>
          <w:lang w:val="en" w:eastAsia="zh-CN" w:bidi="ar-SA"/>
        </w:rPr>
        <w:t>,</w:t>
      </w:r>
      <w:r>
        <w:rPr>
          <w:rFonts w:hint="default" w:ascii="Times New Roman" w:hAnsi="Times New Roman" w:cs="Times New Roman"/>
          <w:color w:val="auto"/>
          <w:kern w:val="2"/>
          <w:sz w:val="32"/>
          <w:szCs w:val="24"/>
          <w:highlight w:val="none"/>
          <w:lang w:val="en-US" w:eastAsia="zh-CN" w:bidi="ar-SA"/>
        </w:rPr>
        <w:t>929</w:t>
      </w:r>
      <w:r>
        <w:rPr>
          <w:rFonts w:hint="default" w:ascii="Times New Roman" w:hAnsi="Times New Roman" w:cs="Times New Roman"/>
          <w:color w:val="auto"/>
          <w:kern w:val="2"/>
          <w:sz w:val="32"/>
          <w:szCs w:val="24"/>
          <w:highlight w:val="none"/>
          <w:lang w:val="en" w:eastAsia="zh-CN" w:bidi="ar-SA"/>
        </w:rPr>
        <w:t>.00</w:t>
      </w:r>
      <w:r>
        <w:rPr>
          <w:rFonts w:hint="default" w:ascii="Times New Roman" w:hAnsi="Times New Roman" w:eastAsia="仿宋_GB2312" w:cs="Times New Roman"/>
          <w:color w:val="auto"/>
          <w:kern w:val="2"/>
          <w:sz w:val="32"/>
          <w:szCs w:val="24"/>
          <w:highlight w:val="none"/>
          <w:lang w:val="en-US" w:eastAsia="zh-CN" w:bidi="ar-SA"/>
        </w:rPr>
        <w:t>万元，预算执行率</w:t>
      </w:r>
      <w:r>
        <w:rPr>
          <w:rFonts w:hint="default" w:ascii="Times New Roman" w:hAnsi="Times New Roman" w:cs="Times New Roman"/>
          <w:color w:val="auto"/>
          <w:kern w:val="2"/>
          <w:sz w:val="32"/>
          <w:szCs w:val="24"/>
          <w:highlight w:val="none"/>
          <w:lang w:val="en-US" w:eastAsia="zh-CN" w:bidi="ar-SA"/>
        </w:rPr>
        <w:t>100.00</w:t>
      </w:r>
      <w:r>
        <w:rPr>
          <w:rFonts w:hint="default" w:ascii="Times New Roman" w:hAnsi="Times New Roman" w:eastAsia="仿宋_GB2312" w:cs="Times New Roman"/>
          <w:color w:val="auto"/>
          <w:kern w:val="2"/>
          <w:sz w:val="32"/>
          <w:szCs w:val="24"/>
          <w:highlight w:val="none"/>
          <w:lang w:val="en-US" w:eastAsia="zh-CN" w:bidi="ar-SA"/>
        </w:rPr>
        <w:t>%</w:t>
      </w:r>
      <w:r>
        <w:rPr>
          <w:rFonts w:hint="default" w:ascii="Times New Roman" w:hAnsi="Times New Roman" w:cs="Times New Roman"/>
          <w:color w:val="auto"/>
          <w:kern w:val="2"/>
          <w:sz w:val="32"/>
          <w:szCs w:val="24"/>
          <w:highlight w:val="none"/>
          <w:lang w:val="en-US" w:eastAsia="zh-CN" w:bidi="ar-SA"/>
        </w:rPr>
        <w:t>，项目预算执行率高且</w:t>
      </w:r>
      <w:r>
        <w:rPr>
          <w:rFonts w:hint="default" w:ascii="Times New Roman" w:hAnsi="Times New Roman" w:eastAsia="仿宋_GB2312" w:cs="Times New Roman"/>
          <w:color w:val="auto"/>
          <w:kern w:val="2"/>
          <w:sz w:val="32"/>
          <w:szCs w:val="24"/>
          <w:highlight w:val="none"/>
          <w:lang w:val="en-US" w:eastAsia="zh-CN" w:bidi="ar-SA"/>
        </w:rPr>
        <w:t>项目支出</w:t>
      </w:r>
      <w:r>
        <w:rPr>
          <w:rFonts w:hint="default" w:ascii="Times New Roman" w:hAnsi="Times New Roman" w:cs="Times New Roman"/>
          <w:color w:val="auto"/>
          <w:kern w:val="2"/>
          <w:sz w:val="32"/>
          <w:szCs w:val="24"/>
          <w:highlight w:val="none"/>
          <w:lang w:val="en-US" w:eastAsia="zh-CN" w:bidi="ar-SA"/>
        </w:rPr>
        <w:t>均</w:t>
      </w:r>
      <w:r>
        <w:rPr>
          <w:rFonts w:hint="default" w:ascii="Times New Roman" w:hAnsi="Times New Roman" w:eastAsia="仿宋_GB2312" w:cs="Times New Roman"/>
          <w:color w:val="auto"/>
          <w:kern w:val="2"/>
          <w:sz w:val="32"/>
          <w:szCs w:val="24"/>
          <w:highlight w:val="none"/>
          <w:lang w:val="en-US" w:eastAsia="zh-CN" w:bidi="ar-SA"/>
        </w:rPr>
        <w:t>有完整的审批手续和程序</w:t>
      </w:r>
      <w:r>
        <w:rPr>
          <w:rFonts w:hint="default" w:ascii="Times New Roman" w:hAnsi="Times New Roman" w:cs="Times New Roman"/>
          <w:color w:val="auto"/>
          <w:kern w:val="2"/>
          <w:sz w:val="32"/>
          <w:szCs w:val="24"/>
          <w:highlight w:val="none"/>
          <w:lang w:val="en-US" w:eastAsia="zh-CN" w:bidi="ar-SA"/>
        </w:rPr>
        <w:t>。</w:t>
      </w:r>
    </w:p>
    <w:p>
      <w:pPr>
        <w:pStyle w:val="7"/>
        <w:pageBreakBefore w:val="0"/>
        <w:numPr>
          <w:ilvl w:val="0"/>
          <w:numId w:val="5"/>
        </w:numPr>
        <w:kinsoku/>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153" w:name="_Toc9066"/>
      <w:r>
        <w:rPr>
          <w:rFonts w:hint="default" w:ascii="Times New Roman" w:hAnsi="Times New Roman" w:eastAsia="Heiti SC Medium" w:cs="Times New Roman"/>
          <w:b/>
          <w:color w:val="auto"/>
          <w:highlight w:val="none"/>
        </w:rPr>
        <w:t>存在的问题及原因分析</w:t>
      </w:r>
      <w:bookmarkEnd w:id="153"/>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outlineLvl w:val="9"/>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b/>
          <w:bCs/>
          <w:color w:val="auto"/>
          <w:kern w:val="2"/>
          <w:sz w:val="32"/>
          <w:szCs w:val="24"/>
          <w:highlight w:val="none"/>
          <w:lang w:val="en-US" w:eastAsia="zh-CN" w:bidi="ar-SA"/>
        </w:rPr>
        <w:t>1.绩效目标设置不够</w:t>
      </w:r>
      <w:r>
        <w:rPr>
          <w:rFonts w:hint="eastAsia" w:ascii="Times New Roman" w:hAnsi="Times New Roman" w:eastAsia="仿宋_GB2312" w:cs="Times New Roman"/>
          <w:b/>
          <w:bCs/>
          <w:color w:val="auto"/>
          <w:kern w:val="2"/>
          <w:sz w:val="32"/>
          <w:szCs w:val="24"/>
          <w:highlight w:val="none"/>
          <w:lang w:val="en-US" w:eastAsia="zh-CN" w:bidi="ar-SA"/>
        </w:rPr>
        <w:t>具体</w:t>
      </w:r>
      <w:r>
        <w:rPr>
          <w:rFonts w:hint="default" w:ascii="Times New Roman" w:hAnsi="Times New Roman" w:eastAsia="仿宋_GB2312" w:cs="Times New Roman"/>
          <w:b/>
          <w:bCs/>
          <w:color w:val="auto"/>
          <w:kern w:val="2"/>
          <w:sz w:val="32"/>
          <w:szCs w:val="24"/>
          <w:highlight w:val="none"/>
          <w:lang w:val="en-US" w:eastAsia="zh-CN" w:bidi="ar-SA"/>
        </w:rPr>
        <w:t>、绩效指标不够完整。</w:t>
      </w:r>
      <w:r>
        <w:rPr>
          <w:rFonts w:hint="default" w:ascii="Times New Roman" w:hAnsi="Times New Roman" w:eastAsia="仿宋_GB2312" w:cs="Times New Roman"/>
          <w:color w:val="auto"/>
          <w:kern w:val="2"/>
          <w:sz w:val="32"/>
          <w:szCs w:val="24"/>
          <w:highlight w:val="none"/>
          <w:lang w:val="en-US" w:eastAsia="zh-CN" w:bidi="ar-SA"/>
        </w:rPr>
        <w:t>海南省交通运输厅高速公路建设偿债的项目年度绩效目标为“降低交通负债率”，绩效目标设置过于简单、不够具体，不能体现出预期的产出水平，绩效目标体现不出与预算确定的项目投资额或资金量是否相匹配。</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cs="Times New Roman"/>
          <w:b/>
          <w:bCs/>
          <w:color w:val="auto"/>
          <w:kern w:val="2"/>
          <w:sz w:val="32"/>
          <w:szCs w:val="24"/>
          <w:highlight w:val="none"/>
          <w:lang w:val="en-US" w:eastAsia="zh-CN" w:bidi="ar-SA"/>
        </w:rPr>
        <w:t>2</w:t>
      </w:r>
      <w:r>
        <w:rPr>
          <w:rFonts w:hint="default" w:ascii="Times New Roman" w:hAnsi="Times New Roman" w:eastAsia="仿宋_GB2312" w:cs="Times New Roman"/>
          <w:b/>
          <w:bCs/>
          <w:color w:val="auto"/>
          <w:kern w:val="2"/>
          <w:sz w:val="32"/>
          <w:szCs w:val="24"/>
          <w:highlight w:val="none"/>
          <w:lang w:val="en-US" w:eastAsia="zh-CN" w:bidi="ar-SA"/>
        </w:rPr>
        <w:t>.</w:t>
      </w:r>
      <w:r>
        <w:rPr>
          <w:rFonts w:hint="default" w:ascii="Times New Roman" w:hAnsi="Times New Roman" w:cs="Times New Roman"/>
          <w:b/>
          <w:bCs/>
          <w:color w:val="auto"/>
          <w:kern w:val="2"/>
          <w:sz w:val="32"/>
          <w:szCs w:val="24"/>
          <w:highlight w:val="none"/>
          <w:lang w:val="en-US" w:eastAsia="zh-CN" w:bidi="ar-SA"/>
        </w:rPr>
        <w:t>自评工作质量</w:t>
      </w:r>
      <w:r>
        <w:rPr>
          <w:rFonts w:hint="eastAsia" w:cs="Times New Roman"/>
          <w:b/>
          <w:bCs/>
          <w:color w:val="auto"/>
          <w:kern w:val="2"/>
          <w:sz w:val="32"/>
          <w:szCs w:val="24"/>
          <w:highlight w:val="none"/>
          <w:lang w:val="en-US" w:eastAsia="zh-CN" w:bidi="ar-SA"/>
        </w:rPr>
        <w:t>有待进一步提</w:t>
      </w:r>
      <w:r>
        <w:rPr>
          <w:rFonts w:hint="default" w:ascii="Times New Roman" w:hAnsi="Times New Roman" w:cs="Times New Roman"/>
          <w:b/>
          <w:bCs/>
          <w:color w:val="auto"/>
          <w:kern w:val="2"/>
          <w:sz w:val="32"/>
          <w:szCs w:val="24"/>
          <w:highlight w:val="none"/>
          <w:lang w:val="en-US" w:eastAsia="zh-CN" w:bidi="ar-SA"/>
        </w:rPr>
        <w:t>高</w:t>
      </w:r>
      <w:r>
        <w:rPr>
          <w:rFonts w:hint="default" w:ascii="Times New Roman" w:hAnsi="Times New Roman" w:eastAsia="仿宋_GB2312" w:cs="Times New Roman"/>
          <w:b/>
          <w:bCs/>
          <w:color w:val="auto"/>
          <w:kern w:val="2"/>
          <w:sz w:val="32"/>
          <w:szCs w:val="24"/>
          <w:highlight w:val="none"/>
          <w:lang w:val="en-US" w:eastAsia="zh-CN" w:bidi="ar-SA"/>
        </w:rPr>
        <w:t>。</w:t>
      </w:r>
      <w:r>
        <w:rPr>
          <w:rFonts w:hint="default" w:ascii="Times New Roman" w:hAnsi="Times New Roman" w:cs="Times New Roman"/>
          <w:b w:val="0"/>
          <w:bCs w:val="0"/>
          <w:color w:val="auto"/>
          <w:kern w:val="2"/>
          <w:sz w:val="32"/>
          <w:szCs w:val="24"/>
          <w:highlight w:val="none"/>
          <w:lang w:val="en-US" w:eastAsia="zh-CN" w:bidi="ar-SA"/>
        </w:rPr>
        <w:t>部门所提供的项目支出绩效自评表中年度目标完成情况、实际完成值、自评得分、未完成情况分析等填写不够充分</w:t>
      </w:r>
      <w:r>
        <w:rPr>
          <w:rFonts w:hint="eastAsia" w:ascii="Times New Roman" w:hAnsi="Times New Roman" w:cs="Times New Roman"/>
          <w:b w:val="0"/>
          <w:bCs w:val="0"/>
          <w:color w:val="auto"/>
          <w:kern w:val="2"/>
          <w:sz w:val="32"/>
          <w:szCs w:val="24"/>
          <w:highlight w:val="none"/>
          <w:lang w:val="en" w:eastAsia="zh-CN" w:bidi="ar-SA"/>
        </w:rPr>
        <w:t>，</w:t>
      </w:r>
      <w:r>
        <w:rPr>
          <w:rFonts w:hint="default" w:ascii="Times New Roman" w:hAnsi="Times New Roman" w:cs="Times New Roman"/>
          <w:b w:val="0"/>
          <w:bCs w:val="0"/>
          <w:color w:val="auto"/>
          <w:kern w:val="2"/>
          <w:sz w:val="32"/>
          <w:szCs w:val="24"/>
          <w:highlight w:val="none"/>
          <w:lang w:val="en-US" w:eastAsia="zh-CN" w:bidi="ar-SA"/>
        </w:rPr>
        <w:t>自评工作质量需进一步提升。</w:t>
      </w:r>
    </w:p>
    <w:p>
      <w:pPr>
        <w:pStyle w:val="7"/>
        <w:pageBreakBefore w:val="0"/>
        <w:numPr>
          <w:ilvl w:val="0"/>
          <w:numId w:val="5"/>
        </w:numPr>
        <w:kinsoku/>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154" w:name="_Toc31430"/>
      <w:r>
        <w:rPr>
          <w:rFonts w:hint="default" w:ascii="Times New Roman" w:hAnsi="Times New Roman" w:eastAsia="Heiti SC Medium" w:cs="Times New Roman"/>
          <w:b/>
          <w:color w:val="auto"/>
          <w:highlight w:val="none"/>
        </w:rPr>
        <w:t>有关建议</w:t>
      </w:r>
      <w:bookmarkEnd w:id="154"/>
    </w:p>
    <w:p>
      <w:pPr>
        <w:pageBreakBefore w:val="0"/>
        <w:kinsoku/>
        <w:overflowPunct/>
        <w:topLinePunct w:val="0"/>
        <w:bidi w:val="0"/>
        <w:spacing w:line="560" w:lineRule="exact"/>
        <w:ind w:firstLine="643"/>
        <w:rPr>
          <w:rFonts w:hint="default" w:ascii="Times New Roman" w:hAnsi="Times New Roman" w:cs="Times New Roman"/>
          <w:highlight w:val="none"/>
        </w:rPr>
      </w:pPr>
      <w:r>
        <w:rPr>
          <w:rFonts w:hint="default" w:ascii="Times New Roman" w:hAnsi="Times New Roman" w:eastAsia="仿宋_GB2312" w:cs="Times New Roman"/>
          <w:b/>
          <w:bCs/>
          <w:color w:val="auto"/>
          <w:kern w:val="2"/>
          <w:sz w:val="32"/>
          <w:szCs w:val="24"/>
          <w:highlight w:val="none"/>
          <w:lang w:val="en-US" w:eastAsia="zh-CN" w:bidi="ar-SA"/>
        </w:rPr>
        <w:t>1.合理设置绩效目标，完善绩效指标。</w:t>
      </w:r>
      <w:r>
        <w:rPr>
          <w:rFonts w:hint="default" w:ascii="Times New Roman" w:hAnsi="Times New Roman" w:cs="Times New Roman"/>
          <w:b w:val="0"/>
          <w:bCs w:val="0"/>
          <w:color w:val="auto"/>
          <w:kern w:val="2"/>
          <w:sz w:val="32"/>
          <w:szCs w:val="24"/>
          <w:highlight w:val="none"/>
          <w:lang w:val="en-US" w:eastAsia="zh-CN" w:bidi="ar-SA"/>
        </w:rPr>
        <w:t>一是</w:t>
      </w:r>
      <w:r>
        <w:rPr>
          <w:rFonts w:hint="default" w:ascii="Times New Roman" w:hAnsi="Times New Roman" w:eastAsia="仿宋_GB2312" w:cs="Times New Roman"/>
          <w:b w:val="0"/>
          <w:bCs w:val="0"/>
          <w:color w:val="auto"/>
          <w:kern w:val="2"/>
          <w:sz w:val="32"/>
          <w:szCs w:val="24"/>
          <w:highlight w:val="none"/>
          <w:lang w:val="en-US" w:eastAsia="zh-CN" w:bidi="ar-SA"/>
        </w:rPr>
        <w:t>预算项目支出绩效目标审核建议从规范完整性、明确清晰性、资金匹配性等方面进行审核。对于绩效目标填报不规范的项目返回补充或修改；对于目标不明晰的项目，返回修改完善，明确清晰的绩效目标应该能够反映项目主要情况，可大致了解此项目的项目内容、预期产出和效果等情况；</w:t>
      </w:r>
      <w:r>
        <w:rPr>
          <w:rFonts w:hint="default" w:ascii="Times New Roman" w:hAnsi="Times New Roman" w:cs="Times New Roman"/>
          <w:b w:val="0"/>
          <w:bCs w:val="0"/>
          <w:color w:val="auto"/>
          <w:kern w:val="2"/>
          <w:sz w:val="32"/>
          <w:szCs w:val="24"/>
          <w:highlight w:val="none"/>
          <w:lang w:val="en-US" w:eastAsia="zh-CN" w:bidi="ar-SA"/>
        </w:rPr>
        <w:t>二是建议</w:t>
      </w:r>
      <w:r>
        <w:rPr>
          <w:rFonts w:hint="default" w:ascii="Times New Roman" w:hAnsi="Times New Roman" w:cs="Times New Roman"/>
          <w:highlight w:val="none"/>
        </w:rPr>
        <w:t>按照SMART原则，结合项目内容将项目绩效目标进行细化</w:t>
      </w:r>
      <w:r>
        <w:rPr>
          <w:rFonts w:hint="default" w:ascii="Times New Roman" w:hAnsi="Times New Roman" w:cs="Times New Roman"/>
          <w:highlight w:val="none"/>
          <w:lang w:eastAsia="zh-CN"/>
        </w:rPr>
        <w:t>，</w:t>
      </w:r>
      <w:r>
        <w:rPr>
          <w:rFonts w:hint="default" w:ascii="Times New Roman" w:hAnsi="Times New Roman" w:cs="Times New Roman"/>
          <w:highlight w:val="none"/>
        </w:rPr>
        <w:t>指标设置</w:t>
      </w:r>
      <w:r>
        <w:rPr>
          <w:rFonts w:hint="default" w:ascii="Times New Roman" w:hAnsi="Times New Roman" w:cs="Times New Roman"/>
          <w:highlight w:val="none"/>
          <w:lang w:val="en-US" w:eastAsia="zh-CN"/>
        </w:rPr>
        <w:t>尽可能完整、可量化</w:t>
      </w:r>
      <w:r>
        <w:rPr>
          <w:rFonts w:hint="default" w:ascii="Times New Roman" w:hAnsi="Times New Roman" w:cs="Times New Roman"/>
          <w:highlight w:val="none"/>
        </w:rPr>
        <w:t>。</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2" w:firstLineChars="200"/>
        <w:textAlignment w:val="auto"/>
        <w:rPr>
          <w:rFonts w:hint="default" w:ascii="Times New Roman" w:hAnsi="Times New Roman" w:cs="Times New Roman"/>
          <w:highlight w:val="none"/>
          <w:lang w:val="en-US" w:eastAsia="zh-CN"/>
        </w:rPr>
      </w:pPr>
      <w:r>
        <w:rPr>
          <w:rFonts w:hint="eastAsia" w:ascii="Times New Roman" w:hAnsi="Times New Roman" w:cs="Times New Roman"/>
          <w:b/>
          <w:bCs/>
          <w:color w:val="auto"/>
          <w:kern w:val="2"/>
          <w:sz w:val="32"/>
          <w:szCs w:val="24"/>
          <w:highlight w:val="none"/>
          <w:lang w:val="en-US" w:eastAsia="zh-CN" w:bidi="ar-SA"/>
        </w:rPr>
        <w:t>2</w:t>
      </w:r>
      <w:r>
        <w:rPr>
          <w:rFonts w:hint="default" w:ascii="Times New Roman" w:hAnsi="Times New Roman" w:eastAsia="仿宋_GB2312" w:cs="Times New Roman"/>
          <w:b/>
          <w:bCs/>
          <w:color w:val="auto"/>
          <w:kern w:val="2"/>
          <w:sz w:val="32"/>
          <w:szCs w:val="24"/>
          <w:highlight w:val="none"/>
          <w:lang w:val="en-US" w:eastAsia="zh-CN" w:bidi="ar-SA"/>
        </w:rPr>
        <w:t>.</w:t>
      </w:r>
      <w:r>
        <w:rPr>
          <w:rFonts w:hint="default" w:ascii="Times New Roman" w:hAnsi="Times New Roman" w:cs="Times New Roman"/>
          <w:b/>
          <w:bCs/>
          <w:color w:val="auto"/>
          <w:kern w:val="2"/>
          <w:sz w:val="32"/>
          <w:szCs w:val="24"/>
          <w:highlight w:val="none"/>
          <w:lang w:val="en-US" w:eastAsia="zh-CN" w:bidi="ar-SA"/>
        </w:rPr>
        <w:t>加强绩效自评工作管理，提高自评工作质量</w:t>
      </w:r>
      <w:r>
        <w:rPr>
          <w:rFonts w:hint="default" w:ascii="Times New Roman" w:hAnsi="Times New Roman" w:eastAsia="仿宋_GB2312" w:cs="Times New Roman"/>
          <w:b/>
          <w:bCs/>
          <w:color w:val="auto"/>
          <w:kern w:val="2"/>
          <w:sz w:val="32"/>
          <w:szCs w:val="24"/>
          <w:highlight w:val="none"/>
          <w:lang w:val="en-US" w:eastAsia="zh-CN" w:bidi="ar-SA"/>
        </w:rPr>
        <w:t>。</w:t>
      </w:r>
      <w:r>
        <w:rPr>
          <w:rFonts w:hint="default" w:ascii="Times New Roman" w:hAnsi="Times New Roman" w:cs="Times New Roman"/>
          <w:b w:val="0"/>
          <w:bCs w:val="0"/>
          <w:color w:val="auto"/>
          <w:kern w:val="2"/>
          <w:sz w:val="32"/>
          <w:szCs w:val="24"/>
          <w:highlight w:val="none"/>
          <w:lang w:val="en-US" w:eastAsia="zh-CN" w:bidi="ar-SA"/>
        </w:rPr>
        <w:t>针对绩效自评工作质量不够高的问题，要加深绩效管理理念认识，重视绩效跟踪、绩效自评等各项绩效管理工作，充分利用结果导向的绩效管理工具，及时发现工作中的不足与问题，提高纠偏效率。</w:t>
      </w:r>
    </w:p>
    <w:p>
      <w:pPr>
        <w:pStyle w:val="7"/>
        <w:pageBreakBefore w:val="0"/>
        <w:numPr>
          <w:ilvl w:val="0"/>
          <w:numId w:val="5"/>
        </w:numPr>
        <w:kinsoku/>
        <w:overflowPunct/>
        <w:topLinePunct w:val="0"/>
        <w:bidi w:val="0"/>
        <w:spacing w:line="560" w:lineRule="exact"/>
        <w:outlineLvl w:val="0"/>
        <w:rPr>
          <w:rFonts w:hint="default" w:ascii="Times New Roman" w:hAnsi="Times New Roman" w:eastAsia="Heiti SC Medium" w:cs="Times New Roman"/>
          <w:b/>
          <w:color w:val="auto"/>
          <w:highlight w:val="none"/>
        </w:rPr>
      </w:pPr>
      <w:bookmarkStart w:id="155" w:name="_Toc22648"/>
      <w:r>
        <w:rPr>
          <w:rFonts w:hint="default" w:ascii="Times New Roman" w:hAnsi="Times New Roman" w:eastAsia="Heiti SC Medium" w:cs="Times New Roman"/>
          <w:b/>
          <w:color w:val="auto"/>
          <w:highlight w:val="none"/>
        </w:rPr>
        <w:t>其他需要说明的问题</w:t>
      </w:r>
      <w:bookmarkEnd w:id="155"/>
    </w:p>
    <w:p>
      <w:pPr>
        <w:pageBreakBefore w:val="0"/>
        <w:kinsoku/>
        <w:overflowPunct/>
        <w:topLinePunct w:val="0"/>
        <w:bidi w:val="0"/>
        <w:spacing w:line="56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无。</w:t>
      </w:r>
    </w:p>
    <w:p>
      <w:pPr>
        <w:pageBreakBefore w:val="0"/>
        <w:kinsoku/>
        <w:overflowPunct/>
        <w:topLinePunct w:val="0"/>
        <w:bidi w:val="0"/>
        <w:spacing w:line="560" w:lineRule="exact"/>
        <w:rPr>
          <w:rFonts w:hint="default" w:ascii="Times New Roman" w:hAnsi="Times New Roman" w:eastAsia="Heiti SC Medium" w:cs="Times New Roman"/>
          <w:color w:val="auto"/>
          <w:highlight w:val="none"/>
        </w:rPr>
      </w:pPr>
    </w:p>
    <w:p>
      <w:pPr>
        <w:pageBreakBefore w:val="0"/>
        <w:kinsoku/>
        <w:overflowPunct/>
        <w:topLinePunct w:val="0"/>
        <w:bidi w:val="0"/>
        <w:spacing w:line="560" w:lineRule="exact"/>
        <w:rPr>
          <w:rFonts w:hint="default" w:ascii="Times New Roman" w:hAnsi="Times New Roman" w:cs="Times New Roman"/>
          <w:color w:val="auto"/>
          <w:szCs w:val="32"/>
          <w:highlight w:val="none"/>
        </w:rPr>
      </w:pPr>
      <w:r>
        <w:rPr>
          <w:rFonts w:hint="default" w:ascii="Times New Roman" w:hAnsi="Times New Roman" w:eastAsia="黑体" w:cs="Times New Roman"/>
          <w:color w:val="auto"/>
          <w:szCs w:val="32"/>
          <w:highlight w:val="none"/>
        </w:rPr>
        <w:t>附件：</w:t>
      </w:r>
      <w:r>
        <w:rPr>
          <w:rFonts w:hint="default" w:ascii="Times New Roman" w:hAnsi="Times New Roman" w:cs="Times New Roman"/>
          <w:color w:val="auto"/>
          <w:szCs w:val="32"/>
          <w:highlight w:val="none"/>
        </w:rPr>
        <w:t>综合评分表</w:t>
      </w:r>
    </w:p>
    <w:p>
      <w:pPr>
        <w:pageBreakBefore w:val="0"/>
        <w:kinsoku/>
        <w:overflowPunct/>
        <w:topLinePunct w:val="0"/>
        <w:bidi w:val="0"/>
        <w:spacing w:line="560" w:lineRule="exact"/>
        <w:rPr>
          <w:rFonts w:hint="default" w:ascii="Times New Roman" w:hAnsi="Times New Roman" w:eastAsia="仿宋_GB2312" w:cs="Times New Roman"/>
          <w:color w:val="auto"/>
          <w:sz w:val="32"/>
          <w:szCs w:val="32"/>
          <w:highlight w:val="none"/>
        </w:rPr>
      </w:pPr>
    </w:p>
    <w:p>
      <w:pPr>
        <w:pageBreakBefore w:val="0"/>
        <w:kinsoku/>
        <w:overflowPunct/>
        <w:topLinePunct w:val="0"/>
        <w:bidi w:val="0"/>
        <w:spacing w:line="560" w:lineRule="exact"/>
        <w:ind w:firstLine="640" w:firstLineChars="200"/>
        <w:jc w:val="right"/>
        <w:rPr>
          <w:rFonts w:hint="default" w:ascii="Times New Roman" w:hAnsi="Times New Roman" w:eastAsia="仿宋_GB2312" w:cs="Times New Roman"/>
          <w:color w:val="auto"/>
          <w:sz w:val="32"/>
          <w:szCs w:val="32"/>
          <w:highlight w:val="none"/>
        </w:rPr>
      </w:pPr>
    </w:p>
    <w:p>
      <w:pPr>
        <w:pageBreakBefore w:val="0"/>
        <w:kinsoku/>
        <w:overflowPunct/>
        <w:topLinePunct w:val="0"/>
        <w:bidi w:val="0"/>
        <w:spacing w:line="560" w:lineRule="exact"/>
        <w:ind w:firstLine="640" w:firstLineChars="200"/>
        <w:jc w:val="right"/>
        <w:rPr>
          <w:rFonts w:hint="default" w:ascii="Times New Roman" w:hAnsi="Times New Roman" w:eastAsia="仿宋_GB2312" w:cs="Times New Roman"/>
          <w:color w:val="auto"/>
          <w:sz w:val="32"/>
          <w:szCs w:val="32"/>
          <w:highlight w:val="none"/>
        </w:rPr>
      </w:pPr>
    </w:p>
    <w:p>
      <w:pPr>
        <w:pageBreakBefore w:val="0"/>
        <w:kinsoku/>
        <w:overflowPunct/>
        <w:topLinePunct w:val="0"/>
        <w:bidi w:val="0"/>
        <w:spacing w:line="560" w:lineRule="exact"/>
        <w:ind w:firstLine="640" w:firstLineChars="200"/>
        <w:jc w:val="right"/>
        <w:rPr>
          <w:rFonts w:hint="default" w:ascii="Times New Roman" w:hAnsi="Times New Roman" w:eastAsia="仿宋_GB2312" w:cs="Times New Roman"/>
          <w:color w:val="auto"/>
          <w:sz w:val="32"/>
          <w:szCs w:val="32"/>
          <w:highlight w:val="none"/>
        </w:rPr>
      </w:pPr>
    </w:p>
    <w:p>
      <w:pPr>
        <w:pageBreakBefore w:val="0"/>
        <w:kinsoku/>
        <w:overflowPunct/>
        <w:topLinePunct w:val="0"/>
        <w:bidi w:val="0"/>
        <w:spacing w:line="560" w:lineRule="exact"/>
        <w:ind w:firstLine="640" w:firstLineChars="200"/>
        <w:jc w:val="right"/>
        <w:rPr>
          <w:rFonts w:hint="default" w:ascii="Times New Roman" w:hAnsi="Times New Roman" w:cs="Times New Roman"/>
          <w:color w:val="auto"/>
          <w:sz w:val="32"/>
          <w:szCs w:val="32"/>
          <w:highlight w:val="none"/>
          <w:lang w:eastAsia="zh-CN"/>
        </w:rPr>
      </w:pPr>
      <w:r>
        <w:rPr>
          <w:rFonts w:hint="default" w:ascii="Times New Roman" w:hAnsi="Times New Roman" w:cs="Times New Roman"/>
          <w:color w:val="auto"/>
          <w:sz w:val="32"/>
          <w:szCs w:val="32"/>
          <w:highlight w:val="none"/>
          <w:lang w:eastAsia="zh-CN"/>
        </w:rPr>
        <w:t>海南省交通运输厅</w:t>
      </w:r>
    </w:p>
    <w:p>
      <w:pPr>
        <w:pageBreakBefore w:val="0"/>
        <w:kinsoku/>
        <w:overflowPunct/>
        <w:topLinePunct w:val="0"/>
        <w:bidi w:val="0"/>
        <w:spacing w:line="560" w:lineRule="exact"/>
        <w:ind w:firstLine="640" w:firstLineChars="200"/>
        <w:jc w:val="right"/>
        <w:rPr>
          <w:rFonts w:hint="default" w:ascii="Times New Roman" w:hAnsi="Times New Roman" w:eastAsia="仿宋_GB2312" w:cs="Times New Roman"/>
          <w:color w:val="auto"/>
          <w:sz w:val="32"/>
          <w:szCs w:val="32"/>
          <w:highlight w:val="none"/>
          <w:lang w:val="en-US"/>
        </w:rPr>
        <w:sectPr>
          <w:pgSz w:w="11906" w:h="16838"/>
          <w:pgMar w:top="2835" w:right="1417" w:bottom="1417" w:left="1984"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r>
        <w:rPr>
          <w:rFonts w:hint="default" w:ascii="Times New Roman" w:hAnsi="Times New Roman" w:eastAsia="仿宋_GB2312" w:cs="Times New Roman"/>
          <w:color w:val="auto"/>
          <w:sz w:val="32"/>
          <w:szCs w:val="32"/>
          <w:highlight w:val="none"/>
        </w:rPr>
        <w:t>二Ｏ二</w:t>
      </w:r>
      <w:r>
        <w:rPr>
          <w:rFonts w:hint="default" w:ascii="Times New Roman" w:hAnsi="Times New Roman" w:cs="Times New Roman"/>
          <w:color w:val="auto"/>
          <w:sz w:val="32"/>
          <w:szCs w:val="32"/>
          <w:highlight w:val="none"/>
          <w:lang w:val="en-US" w:eastAsia="zh-CN"/>
        </w:rPr>
        <w:t>四</w:t>
      </w:r>
      <w:r>
        <w:rPr>
          <w:rFonts w:hint="default" w:ascii="Times New Roman" w:hAnsi="Times New Roman" w:eastAsia="仿宋_GB2312" w:cs="Times New Roman"/>
          <w:color w:val="auto"/>
          <w:sz w:val="32"/>
          <w:szCs w:val="32"/>
          <w:highlight w:val="none"/>
        </w:rPr>
        <w:t>年</w:t>
      </w:r>
      <w:r>
        <w:rPr>
          <w:rFonts w:hint="default" w:ascii="Times New Roman" w:hAnsi="Times New Roman" w:cs="Times New Roman"/>
          <w:color w:val="auto"/>
          <w:sz w:val="32"/>
          <w:szCs w:val="32"/>
          <w:highlight w:val="none"/>
          <w:lang w:eastAsia="zh-CN"/>
        </w:rPr>
        <w:t>五</w:t>
      </w:r>
      <w:r>
        <w:rPr>
          <w:rFonts w:hint="default" w:ascii="Times New Roman" w:hAnsi="Times New Roman" w:cs="Times New Roman"/>
          <w:color w:val="auto"/>
          <w:sz w:val="32"/>
          <w:szCs w:val="32"/>
          <w:highlight w:val="none"/>
          <w:lang w:val="en-US" w:eastAsia="zh-CN"/>
        </w:rPr>
        <w:t>月</w:t>
      </w:r>
    </w:p>
    <w:p>
      <w:pPr>
        <w:pStyle w:val="7"/>
        <w:pageBreakBefore w:val="0"/>
        <w:kinsoku/>
        <w:overflowPunct/>
        <w:topLinePunct w:val="0"/>
        <w:bidi w:val="0"/>
        <w:spacing w:line="560" w:lineRule="exact"/>
        <w:ind w:firstLine="0" w:firstLineChars="0"/>
        <w:outlineLvl w:val="0"/>
        <w:rPr>
          <w:rFonts w:hint="default" w:ascii="Times New Roman" w:hAnsi="Times New Roman" w:eastAsia="Heiti SC Medium" w:cs="Times New Roman"/>
          <w:b/>
          <w:color w:val="auto"/>
          <w:highlight w:val="none"/>
          <w:lang w:eastAsia="zh-Hans"/>
        </w:rPr>
      </w:pPr>
      <w:bookmarkStart w:id="156" w:name="_Toc23300"/>
      <w:r>
        <w:rPr>
          <w:rFonts w:hint="default" w:ascii="Times New Roman" w:hAnsi="Times New Roman" w:eastAsia="Heiti SC Medium" w:cs="Times New Roman"/>
          <w:b/>
          <w:color w:val="auto"/>
          <w:highlight w:val="none"/>
          <w:lang w:eastAsia="zh-Hans"/>
        </w:rPr>
        <w:t>附件</w:t>
      </w:r>
      <w:r>
        <w:rPr>
          <w:rFonts w:hint="default" w:ascii="Times New Roman" w:hAnsi="Times New Roman" w:eastAsia="Heiti SC Medium" w:cs="Times New Roman"/>
          <w:b/>
          <w:color w:val="auto"/>
          <w:highlight w:val="none"/>
          <w:lang w:eastAsia="zh-CN"/>
        </w:rPr>
        <w:t>：</w:t>
      </w:r>
      <w:r>
        <w:rPr>
          <w:rFonts w:hint="default" w:ascii="Times New Roman" w:hAnsi="Times New Roman" w:eastAsia="Heiti SC Medium" w:cs="Times New Roman"/>
          <w:b/>
          <w:color w:val="auto"/>
          <w:highlight w:val="none"/>
          <w:lang w:eastAsia="zh-Hans"/>
        </w:rPr>
        <w:t>综合评分表</w:t>
      </w:r>
      <w:bookmarkEnd w:id="156"/>
    </w:p>
    <w:tbl>
      <w:tblPr>
        <w:tblStyle w:val="17"/>
        <w:tblW w:w="1422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793"/>
        <w:gridCol w:w="828"/>
        <w:gridCol w:w="750"/>
        <w:gridCol w:w="600"/>
        <w:gridCol w:w="1240"/>
        <w:gridCol w:w="3060"/>
        <w:gridCol w:w="1544"/>
        <w:gridCol w:w="3823"/>
        <w:gridCol w:w="8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blHead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一级指标</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二级指标</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三级指标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目标值</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权重</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指标解释</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评价要点</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评分规则</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评分说明</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决策（16分）　</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项目立项（4分）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立项依据充分性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充分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项目立项是否符合法律法规、相关政策、发展规划以及部门职责，用以反映和考核项目立项依据情况。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满足一项得20%权重分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海南省为提高高速公路服务水平，改善交通条件，促进海南旅游业发展，对海南环岛东线海口至三亚高速公路项目、海口至文昌高速公路改建等项目进行建设。海南省交通投资控股有限公司向进出口银行、国家开发银行等金融机构贷款，以确保项目建设用款需求，顺利推进道路建设项目。2023年高速公路偿债项目为延续性项目，项目起始时间为2021年。根据《海南省交通运输厅关于批复2023年交通运输部门预算的通知》（琼交财〔2023〕41号），2023年年初海南省交通运输厅批复2023年高速公路建设偿债资金预算。项目立项充分，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立项程序规范性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充分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项目申请、设立过程是否符合相关要求，用以反映和考核项目立项的规范情况。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评价要点：①项目是否按照规定的程序申请设立；②审批文件、材料是否符合相关要求；③事前是否已经过必要的可行性研究、专家论证、风险评估、绩效评估、集体决策。</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满足一项得1/3权重分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2023年高速公路偿债项目为延续性项目，项目起始时间为2021年，该项目为延续性项目，海南省交通运输厅2023年高速公路偿债项目进行了项目预算申报，根据《海南省交通运输厅关于批复2023年交通运输部门预算的通知》（琼交财〔2023〕41号），项目得到批复。按规定程序进行预算申报，项目立项程序规范，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绩效目标（4分）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绩效目标合理性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项目所设定的绩效目标是否依据充分，是否符合客观实际，用以反映和考核项目绩效目标与项目实施的相符情况。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项目绩效目标申报表，2023年高速公路建设偿债项目年度绩效目标为：降低交通系统负债率。绩效目标与实际工作内容相关，但项目绩效目标不够具体，不能体现出预期的产出水平、从绩效目标中不能确定与预算确定的项目投资额或资金量相匹配。本指标扣50%权重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绩效指标明确性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明确</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依据绩效目标设定的绩效指标是否清晰、细化、可衡量等，用以反映和考核项目绩效目标的明细化情况。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评价要点：①是否将项目绩效目标细化分解为具体的绩效指标；②是否通过清晰、可衡量的指标值予以体现；③是否与项目目标任务数或计划数相对应。</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满足一项得1/3权重分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根据项目绩效目标申报表,部门已将高速公路建设偿债项目绩效目标分解为具体的绩效指标。</w:t>
            </w:r>
            <w:r>
              <w:rPr>
                <w:rFonts w:hint="eastAsia" w:cs="Times New Roman"/>
                <w:i w:val="0"/>
                <w:iCs w:val="0"/>
                <w:color w:val="000000"/>
                <w:kern w:val="0"/>
                <w:sz w:val="24"/>
                <w:szCs w:val="24"/>
                <w:highlight w:val="none"/>
                <w:u w:val="none"/>
                <w:lang w:val="en-US" w:eastAsia="zh-CN" w:bidi="ar"/>
              </w:rPr>
              <w:t>该指标得满</w:t>
            </w:r>
            <w:r>
              <w:rPr>
                <w:rFonts w:hint="default" w:ascii="Times New Roman" w:hAnsi="Times New Roman" w:eastAsia="仿宋_GB2312" w:cs="Times New Roman"/>
                <w:i w:val="0"/>
                <w:iCs w:val="0"/>
                <w:color w:val="000000"/>
                <w:kern w:val="0"/>
                <w:sz w:val="24"/>
                <w:szCs w:val="24"/>
                <w:highlight w:val="none"/>
                <w:u w:val="none"/>
                <w:lang w:val="en-US" w:eastAsia="zh-CN" w:bidi="ar"/>
              </w:rPr>
              <w:t>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eastAsia"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资金投入（8分）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预算编制科学性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科学</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项目预算编制是否经过科学论证、有明确标准，资金额度与年度目标是否相适应，用以反映和考核项目预算编制的科学性、合理性情况。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评价要点：①预算编制是否经过科学论证；②预算内容与项目内容是否匹配；③预算额度测算依据是否充分，是否按照标准编制；④预算确定的项目投资额或资金量是否与工作任务相匹配。</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根据海南省交通运输厅提供的2023年高速公路建设偿债项目测算明细表，项目测算依据充分，预算确定的项目投资额与任务明细相匹配。预算编制科学性，该指标得满分。</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资金分配合理性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合理</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项目预算资金分配是否有测算依据，与补助单位或地方实际是否相适应，用以反映和考核项目预算资金分配的科学性、合理性情况。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评价要点：①预算资金分配依据是否充分；②资金分配额度是否合理，与项目单位或地方实际是否相适应。</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满足一项得50%权重分。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部门依据项目测算及《海南省交通运输厅关于批复2023年交通运输部门预算的通知》（琼交财〔2023〕41号）批复的相关要求进行资金分配。预算资金分配依据充分，资金分配额度合理，该指标得满分。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过程（24分）</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资金管理（14分）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资金到位率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实际到位资金与预算资金的比率，用以反映和考核资金落实情况对项目实施的总体保障程度。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资金到位率=（实际到位资金/预算资金）×100%。</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实际到位资金：一定时期（本年度或项目期）内落实到具体项目的资金。</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预算资金：一定时期（本年度或项目期）内预算安排到具体项目的资金。</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100%得满分权重分，每下降1%扣1%权重分，直至零分。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根据《海南省交通运输厅关于批复2023年交通运输部门预算的通知》（琼交财〔2023〕41号）文件，共批复项目预算资金48</w:t>
            </w:r>
            <w:r>
              <w:rPr>
                <w:rFonts w:hint="default" w:ascii="Times New Roman" w:hAnsi="Times New Roman" w:eastAsia="仿宋_GB2312" w:cs="Times New Roman"/>
                <w:i w:val="0"/>
                <w:iCs w:val="0"/>
                <w:color w:val="000000"/>
                <w:kern w:val="0"/>
                <w:sz w:val="24"/>
                <w:szCs w:val="24"/>
                <w:highlight w:val="none"/>
                <w:u w:val="none"/>
                <w:lang w:val="en" w:eastAsia="zh-CN" w:bidi="ar"/>
              </w:rPr>
              <w:t>,</w:t>
            </w:r>
            <w:r>
              <w:rPr>
                <w:rFonts w:hint="default" w:ascii="Times New Roman" w:hAnsi="Times New Roman" w:eastAsia="仿宋_GB2312" w:cs="Times New Roman"/>
                <w:i w:val="0"/>
                <w:iCs w:val="0"/>
                <w:color w:val="000000"/>
                <w:kern w:val="0"/>
                <w:sz w:val="24"/>
                <w:szCs w:val="24"/>
                <w:highlight w:val="none"/>
                <w:u w:val="none"/>
                <w:lang w:val="en-US" w:eastAsia="zh-CN" w:bidi="ar"/>
              </w:rPr>
              <w:t>929</w:t>
            </w:r>
            <w:r>
              <w:rPr>
                <w:rFonts w:hint="default" w:ascii="Times New Roman" w:hAnsi="Times New Roman" w:eastAsia="仿宋_GB2312" w:cs="Times New Roman"/>
                <w:i w:val="0"/>
                <w:iCs w:val="0"/>
                <w:color w:val="000000"/>
                <w:kern w:val="0"/>
                <w:sz w:val="24"/>
                <w:szCs w:val="24"/>
                <w:highlight w:val="none"/>
                <w:u w:val="none"/>
                <w:lang w:val="en" w:eastAsia="zh-CN" w:bidi="ar"/>
              </w:rPr>
              <w:t>.00</w:t>
            </w:r>
            <w:r>
              <w:rPr>
                <w:rFonts w:hint="default" w:ascii="Times New Roman" w:hAnsi="Times New Roman" w:eastAsia="仿宋_GB2312" w:cs="Times New Roman"/>
                <w:i w:val="0"/>
                <w:iCs w:val="0"/>
                <w:color w:val="000000"/>
                <w:kern w:val="0"/>
                <w:sz w:val="24"/>
                <w:szCs w:val="24"/>
                <w:highlight w:val="none"/>
                <w:u w:val="none"/>
                <w:lang w:val="en-US" w:eastAsia="zh-CN" w:bidi="ar"/>
              </w:rPr>
              <w:t>万元，实际到位资金48</w:t>
            </w:r>
            <w:r>
              <w:rPr>
                <w:rFonts w:hint="default" w:ascii="Times New Roman" w:hAnsi="Times New Roman" w:eastAsia="仿宋_GB2312" w:cs="Times New Roman"/>
                <w:i w:val="0"/>
                <w:iCs w:val="0"/>
                <w:color w:val="000000"/>
                <w:kern w:val="0"/>
                <w:sz w:val="24"/>
                <w:szCs w:val="24"/>
                <w:highlight w:val="none"/>
                <w:u w:val="none"/>
                <w:lang w:val="en" w:eastAsia="zh-CN" w:bidi="ar"/>
              </w:rPr>
              <w:t>,</w:t>
            </w:r>
            <w:r>
              <w:rPr>
                <w:rFonts w:hint="default" w:ascii="Times New Roman" w:hAnsi="Times New Roman" w:eastAsia="仿宋_GB2312" w:cs="Times New Roman"/>
                <w:i w:val="0"/>
                <w:iCs w:val="0"/>
                <w:color w:val="000000"/>
                <w:kern w:val="0"/>
                <w:sz w:val="24"/>
                <w:szCs w:val="24"/>
                <w:highlight w:val="none"/>
                <w:u w:val="none"/>
                <w:lang w:val="en-US" w:eastAsia="zh-CN" w:bidi="ar"/>
              </w:rPr>
              <w:t>929</w:t>
            </w:r>
            <w:r>
              <w:rPr>
                <w:rFonts w:hint="default" w:ascii="Times New Roman" w:hAnsi="Times New Roman" w:eastAsia="仿宋_GB2312" w:cs="Times New Roman"/>
                <w:i w:val="0"/>
                <w:iCs w:val="0"/>
                <w:color w:val="000000"/>
                <w:kern w:val="0"/>
                <w:sz w:val="24"/>
                <w:szCs w:val="24"/>
                <w:highlight w:val="none"/>
                <w:u w:val="none"/>
                <w:lang w:val="en" w:eastAsia="zh-CN" w:bidi="ar"/>
              </w:rPr>
              <w:t>.00</w:t>
            </w:r>
            <w:r>
              <w:rPr>
                <w:rFonts w:hint="default" w:ascii="Times New Roman" w:hAnsi="Times New Roman" w:eastAsia="仿宋_GB2312" w:cs="Times New Roman"/>
                <w:i w:val="0"/>
                <w:iCs w:val="0"/>
                <w:color w:val="000000"/>
                <w:kern w:val="0"/>
                <w:sz w:val="24"/>
                <w:szCs w:val="24"/>
                <w:highlight w:val="none"/>
                <w:u w:val="none"/>
                <w:lang w:val="en-US" w:eastAsia="zh-CN" w:bidi="ar"/>
              </w:rPr>
              <w:t>万元，资金到位率100%，该指标得满分。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预算执行率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项目预算资金是否按照计划执行，用以反映或考核项目预算执行情况。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预算执行率=（实际支出资金/实际到位资金）×100%。</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实际支出资金：一定时期（本年度或项目期）内项目实际拨付的资金。</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100%得满分权重分，每下降1%扣1%权重分，直至零分。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根据相关材料，2023年高速公路建设偿债项目实际到位资金48</w:t>
            </w:r>
            <w:r>
              <w:rPr>
                <w:rFonts w:hint="default" w:ascii="Times New Roman" w:hAnsi="Times New Roman" w:eastAsia="仿宋_GB2312" w:cs="Times New Roman"/>
                <w:i w:val="0"/>
                <w:iCs w:val="0"/>
                <w:color w:val="000000"/>
                <w:kern w:val="0"/>
                <w:sz w:val="24"/>
                <w:szCs w:val="24"/>
                <w:highlight w:val="none"/>
                <w:u w:val="none"/>
                <w:lang w:val="en" w:eastAsia="zh-CN" w:bidi="ar"/>
              </w:rPr>
              <w:t>,</w:t>
            </w:r>
            <w:r>
              <w:rPr>
                <w:rFonts w:hint="default" w:ascii="Times New Roman" w:hAnsi="Times New Roman" w:eastAsia="仿宋_GB2312" w:cs="Times New Roman"/>
                <w:i w:val="0"/>
                <w:iCs w:val="0"/>
                <w:color w:val="000000"/>
                <w:kern w:val="0"/>
                <w:sz w:val="24"/>
                <w:szCs w:val="24"/>
                <w:highlight w:val="none"/>
                <w:u w:val="none"/>
                <w:lang w:val="en-US" w:eastAsia="zh-CN" w:bidi="ar"/>
              </w:rPr>
              <w:t>929</w:t>
            </w:r>
            <w:r>
              <w:rPr>
                <w:rFonts w:hint="default" w:ascii="Times New Roman" w:hAnsi="Times New Roman" w:eastAsia="仿宋_GB2312" w:cs="Times New Roman"/>
                <w:i w:val="0"/>
                <w:iCs w:val="0"/>
                <w:color w:val="000000"/>
                <w:kern w:val="0"/>
                <w:sz w:val="24"/>
                <w:szCs w:val="24"/>
                <w:highlight w:val="none"/>
                <w:u w:val="none"/>
                <w:lang w:val="en" w:eastAsia="zh-CN" w:bidi="ar"/>
              </w:rPr>
              <w:t>.00</w:t>
            </w:r>
            <w:r>
              <w:rPr>
                <w:rFonts w:hint="default" w:ascii="Times New Roman" w:hAnsi="Times New Roman" w:eastAsia="仿宋_GB2312" w:cs="Times New Roman"/>
                <w:i w:val="0"/>
                <w:iCs w:val="0"/>
                <w:color w:val="000000"/>
                <w:kern w:val="0"/>
                <w:sz w:val="24"/>
                <w:szCs w:val="24"/>
                <w:highlight w:val="none"/>
                <w:u w:val="none"/>
                <w:lang w:val="en-US" w:eastAsia="zh-CN" w:bidi="ar"/>
              </w:rPr>
              <w:t>万元，2023年实际支出48</w:t>
            </w:r>
            <w:r>
              <w:rPr>
                <w:rFonts w:hint="default" w:ascii="Times New Roman" w:hAnsi="Times New Roman" w:eastAsia="仿宋_GB2312" w:cs="Times New Roman"/>
                <w:i w:val="0"/>
                <w:iCs w:val="0"/>
                <w:color w:val="000000"/>
                <w:kern w:val="0"/>
                <w:sz w:val="24"/>
                <w:szCs w:val="24"/>
                <w:highlight w:val="none"/>
                <w:u w:val="none"/>
                <w:lang w:val="en" w:eastAsia="zh-CN" w:bidi="ar"/>
              </w:rPr>
              <w:t>,</w:t>
            </w:r>
            <w:r>
              <w:rPr>
                <w:rFonts w:hint="default" w:ascii="Times New Roman" w:hAnsi="Times New Roman" w:eastAsia="仿宋_GB2312" w:cs="Times New Roman"/>
                <w:i w:val="0"/>
                <w:iCs w:val="0"/>
                <w:color w:val="000000"/>
                <w:kern w:val="0"/>
                <w:sz w:val="24"/>
                <w:szCs w:val="24"/>
                <w:highlight w:val="none"/>
                <w:u w:val="none"/>
                <w:lang w:val="en-US" w:eastAsia="zh-CN" w:bidi="ar"/>
              </w:rPr>
              <w:t>929</w:t>
            </w:r>
            <w:r>
              <w:rPr>
                <w:rFonts w:hint="default" w:ascii="Times New Roman" w:hAnsi="Times New Roman" w:eastAsia="仿宋_GB2312" w:cs="Times New Roman"/>
                <w:i w:val="0"/>
                <w:iCs w:val="0"/>
                <w:color w:val="000000"/>
                <w:kern w:val="0"/>
                <w:sz w:val="24"/>
                <w:szCs w:val="24"/>
                <w:highlight w:val="none"/>
                <w:u w:val="none"/>
                <w:lang w:val="en" w:eastAsia="zh-CN" w:bidi="ar"/>
              </w:rPr>
              <w:t>.00</w:t>
            </w:r>
            <w:r>
              <w:rPr>
                <w:rFonts w:hint="default" w:ascii="Times New Roman" w:hAnsi="Times New Roman" w:eastAsia="仿宋_GB2312" w:cs="Times New Roman"/>
                <w:i w:val="0"/>
                <w:iCs w:val="0"/>
                <w:color w:val="000000"/>
                <w:kern w:val="0"/>
                <w:sz w:val="24"/>
                <w:szCs w:val="24"/>
                <w:highlight w:val="none"/>
                <w:u w:val="none"/>
                <w:lang w:val="en-US" w:eastAsia="zh-CN" w:bidi="ar"/>
              </w:rPr>
              <w:t>万元，预算执行率100.00%。该指标得满分。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资金使用合规性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合规</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项目资金使用是否符合相关的财务管理制度规定，用以反映和考核项目资金的规范运行情况。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条件④不满足，本指标不得分；条件④满足，其余三项每满足1项得1/3权重分。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部门提供的项目支出相关材料，项目资金主要用于高速公路建设偿债的还本及付息，四个季度均有资金拨付请示，符合《海南省交通运输厅机关经费支出管理规定》。项目资金使用符合部门财务管理制度规定，资金拨付有完整的审批程序，资金支出范围符合项目预算批复的用途，未发现残留、挤占、挪用、虚列支出等情况。该指标得满分</w:t>
            </w:r>
            <w:r>
              <w:rPr>
                <w:rFonts w:hint="default" w:ascii="Times New Roman" w:hAnsi="Times New Roman" w:cs="Times New Roman"/>
                <w:i w:val="0"/>
                <w:iCs w:val="0"/>
                <w:color w:val="000000"/>
                <w:kern w:val="0"/>
                <w:sz w:val="24"/>
                <w:szCs w:val="24"/>
                <w:highlight w:val="none"/>
                <w:u w:val="none"/>
                <w:lang w:val="en-US" w:eastAsia="zh-CN" w:bidi="ar"/>
              </w:rPr>
              <w:t>。</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组织实施（10分）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管理制度健全性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健全</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项目实施单位的财务和业务管理制度是否健全，用以反映和考核财务和业务管理制度对项目顺利实施的保障情况。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评价要点：①是否已制定或具有相应的财务和业务管理制度；②财务和业务管理制度是否合法、合规、完整。</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满足一项得50%权重分。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部门制定了《海南省交通运输厅机关经费支出管理规定》的财务管理制度，财务管理制度合规、合规、完整。管理制度健全，该指标得满分。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制度执行有效性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有效</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项目实施是否符合相关管理规定，用以反映和考核相关管理制度的有效执行情况。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评价要点：①是否遵守相关法律法规和相关管理规定；②项目调整及支出调整手续是否完备；③项目合同书、验收报告、技术鉴定等资料是否齐全并及时归档；④项目实施的人员条件、场地设备、信息支撑等是否落实到位。</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满足一项得25%权重分。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根据部门所提供的项目支出明等相关材料，项目按照规定时间及应付金额进行本息偿债支付，项目支出有完整的审批手续和程序，项目实施遵守相关管理规定，制度执行有效，该指标得满分。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w:t>
            </w:r>
            <w:r>
              <w:rPr>
                <w:rFonts w:hint="default" w:ascii="Times New Roman" w:hAnsi="Times New Roman" w:cs="Times New Roman"/>
                <w:i w:val="0"/>
                <w:iCs w:val="0"/>
                <w:color w:val="000000"/>
                <w:kern w:val="0"/>
                <w:sz w:val="24"/>
                <w:szCs w:val="24"/>
                <w:highlight w:val="none"/>
                <w:u w:val="none"/>
                <w:lang w:val="en-US" w:eastAsia="zh-CN" w:bidi="ar"/>
              </w:rPr>
              <w:t>4</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产出数量(</w:t>
            </w:r>
            <w:r>
              <w:rPr>
                <w:rFonts w:hint="default" w:ascii="Times New Roman" w:hAnsi="Times New Roman"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还本付息完成率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≥9</w:t>
            </w:r>
            <w:r>
              <w:rPr>
                <w:rFonts w:hint="default" w:ascii="Times New Roman" w:hAnsi="Times New Roman" w:cs="Times New Roman"/>
                <w:i w:val="0"/>
                <w:iCs w:val="0"/>
                <w:color w:val="000000"/>
                <w:kern w:val="0"/>
                <w:sz w:val="24"/>
                <w:szCs w:val="24"/>
                <w:highlight w:val="none"/>
                <w:u w:val="none"/>
                <w:lang w:val="en-US" w:eastAsia="zh-CN" w:bidi="ar"/>
              </w:rPr>
              <w:t>5</w:t>
            </w:r>
            <w:r>
              <w:rPr>
                <w:rFonts w:hint="default" w:ascii="Times New Roman" w:hAnsi="Times New Roman" w:eastAsia="仿宋_GB2312" w:cs="Times New Roman"/>
                <w:i w:val="0"/>
                <w:iCs w:val="0"/>
                <w:color w:val="000000"/>
                <w:kern w:val="0"/>
                <w:sz w:val="24"/>
                <w:szCs w:val="24"/>
                <w:highlight w:val="none"/>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考察还本付息完成率。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业绩值=还本付息完成数量/还本付息总数*100%。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≥9</w:t>
            </w:r>
            <w:r>
              <w:rPr>
                <w:rFonts w:hint="default" w:ascii="Times New Roman" w:hAnsi="Times New Roman" w:cs="Times New Roman"/>
                <w:i w:val="0"/>
                <w:iCs w:val="0"/>
                <w:color w:val="000000"/>
                <w:kern w:val="0"/>
                <w:sz w:val="24"/>
                <w:szCs w:val="24"/>
                <w:highlight w:val="none"/>
                <w:u w:val="none"/>
                <w:lang w:val="en-US" w:eastAsia="zh-CN" w:bidi="ar"/>
              </w:rPr>
              <w:t>5</w:t>
            </w:r>
            <w:r>
              <w:rPr>
                <w:rFonts w:hint="default" w:ascii="Times New Roman" w:hAnsi="Times New Roman" w:eastAsia="仿宋_GB2312" w:cs="Times New Roman"/>
                <w:i w:val="0"/>
                <w:iCs w:val="0"/>
                <w:color w:val="000000"/>
                <w:kern w:val="0"/>
                <w:sz w:val="24"/>
                <w:szCs w:val="24"/>
                <w:highlight w:val="none"/>
                <w:u w:val="none"/>
                <w:lang w:val="en-US" w:eastAsia="zh-CN" w:bidi="ar"/>
              </w:rPr>
              <w:t>%得满分权重分，每下降1%扣1%权重分，直至零分。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sz w:val="24"/>
                <w:szCs w:val="24"/>
                <w:highlight w:val="none"/>
                <w:u w:val="none"/>
              </w:rPr>
              <w:t>根据项目支出明细、海南省交通投资控股有限公司四个季度偿债资金的请示，高速公路建设</w:t>
            </w:r>
            <w:r>
              <w:rPr>
                <w:rFonts w:hint="default" w:ascii="Times New Roman" w:hAnsi="Times New Roman" w:eastAsia="仿宋_GB2312" w:cs="Times New Roman"/>
                <w:i w:val="0"/>
                <w:iCs w:val="0"/>
                <w:color w:val="000000"/>
                <w:kern w:val="0"/>
                <w:sz w:val="24"/>
                <w:szCs w:val="24"/>
                <w:highlight w:val="none"/>
                <w:u w:val="none"/>
                <w:lang w:val="en-US" w:eastAsia="zh-CN" w:bidi="ar"/>
              </w:rPr>
              <w:t>第一季度需偿还本息39,553,343.43元</w:t>
            </w:r>
            <w:r>
              <w:rPr>
                <w:rFonts w:hint="eastAsia" w:cs="Times New Roman"/>
                <w:i w:val="0"/>
                <w:iCs w:val="0"/>
                <w:color w:val="000000"/>
                <w:kern w:val="0"/>
                <w:sz w:val="24"/>
                <w:szCs w:val="24"/>
                <w:highlight w:val="none"/>
                <w:u w:val="none"/>
                <w:lang w:val="en-US" w:eastAsia="zh-CN" w:bidi="ar"/>
              </w:rPr>
              <w:t>；第二季度需偿还本息236,426,891.14元；第三季度需偿还本息87,755,504.35元；第四季度需偿还本息125,554,261.08元，均已完成支付</w:t>
            </w:r>
            <w:r>
              <w:rPr>
                <w:rFonts w:hint="default" w:ascii="Times New Roman" w:hAnsi="Times New Roman" w:eastAsia="仿宋_GB2312" w:cs="Times New Roman"/>
                <w:i w:val="0"/>
                <w:iCs w:val="0"/>
                <w:color w:val="000000"/>
                <w:sz w:val="24"/>
                <w:szCs w:val="24"/>
                <w:highlight w:val="none"/>
                <w:u w:val="none"/>
              </w:rPr>
              <w:t>，还本付息完成率100%。</w:t>
            </w:r>
            <w:r>
              <w:rPr>
                <w:rFonts w:hint="default" w:ascii="Times New Roman" w:hAnsi="Times New Roman" w:eastAsia="仿宋_GB2312" w:cs="Times New Roman"/>
                <w:i w:val="0"/>
                <w:iCs w:val="0"/>
                <w:color w:val="000000"/>
                <w:kern w:val="0"/>
                <w:sz w:val="24"/>
                <w:szCs w:val="24"/>
                <w:highlight w:val="none"/>
                <w:u w:val="none"/>
                <w:lang w:val="en-US" w:eastAsia="zh-CN" w:bidi="ar"/>
              </w:rPr>
              <w:t>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iCs w:val="0"/>
                <w:color w:val="000000"/>
                <w:sz w:val="24"/>
                <w:szCs w:val="24"/>
                <w:highlight w:val="none"/>
                <w:u w:val="none"/>
              </w:rPr>
            </w:pP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产出时效（</w:t>
            </w:r>
            <w:r>
              <w:rPr>
                <w:rFonts w:hint="default" w:ascii="Times New Roman" w:hAnsi="Times New Roman"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按期偿债及时率时率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≥90%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考察是否按计划及时还款。</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业绩值=实际还款日期/应还款日期*100%。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≥9</w:t>
            </w:r>
            <w:r>
              <w:rPr>
                <w:rFonts w:hint="default" w:ascii="Times New Roman" w:hAnsi="Times New Roman" w:cs="Times New Roman"/>
                <w:i w:val="0"/>
                <w:iCs w:val="0"/>
                <w:color w:val="000000"/>
                <w:kern w:val="0"/>
                <w:sz w:val="24"/>
                <w:szCs w:val="24"/>
                <w:highlight w:val="none"/>
                <w:u w:val="none"/>
                <w:lang w:val="en-US" w:eastAsia="zh-CN" w:bidi="ar"/>
              </w:rPr>
              <w:t>0</w:t>
            </w:r>
            <w:r>
              <w:rPr>
                <w:rFonts w:hint="default" w:ascii="Times New Roman" w:hAnsi="Times New Roman" w:eastAsia="仿宋_GB2312" w:cs="Times New Roman"/>
                <w:i w:val="0"/>
                <w:iCs w:val="0"/>
                <w:color w:val="000000"/>
                <w:kern w:val="0"/>
                <w:sz w:val="24"/>
                <w:szCs w:val="24"/>
                <w:highlight w:val="none"/>
                <w:u w:val="none"/>
                <w:lang w:val="en-US" w:eastAsia="zh-CN" w:bidi="ar"/>
              </w:rPr>
              <w:t>%得满分权重分，每下降1%扣1%权重分，直至零分。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color w:val="000000"/>
                <w:kern w:val="0"/>
                <w:sz w:val="24"/>
                <w:highlight w:val="none"/>
                <w:u w:val="none"/>
                <w:lang w:bidi="ar"/>
              </w:rPr>
              <w:t>根据项目执行情况表、海南省交通投资控股有限公司四个季度偿债资金的请示，第一季度高速公路建设本息实际支付日期为2023年3月9日；第二季度高速公路建设本息实际支付日期为2023年5月17日；第三季度高速公路建设本息实际支付日期为2023年9月12日；第四季度高速公路建设本息实际支付日期为2023年11月16日。2023年高速公路建设偿债均按规定时间完成支付，还款及时率为100%，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效益（</w:t>
            </w:r>
            <w:r>
              <w:rPr>
                <w:rFonts w:hint="default" w:ascii="Times New Roman" w:hAnsi="Times New Roman" w:cs="Times New Roman"/>
                <w:i w:val="0"/>
                <w:iCs w:val="0"/>
                <w:color w:val="000000"/>
                <w:kern w:val="0"/>
                <w:sz w:val="24"/>
                <w:szCs w:val="24"/>
                <w:highlight w:val="none"/>
                <w:u w:val="none"/>
                <w:lang w:val="en-US" w:eastAsia="zh-CN" w:bidi="ar"/>
              </w:rPr>
              <w:t>2</w:t>
            </w:r>
            <w:r>
              <w:rPr>
                <w:rFonts w:hint="default" w:ascii="Times New Roman" w:hAnsi="Times New Roman" w:eastAsia="仿宋_GB2312" w:cs="Times New Roman"/>
                <w:i w:val="0"/>
                <w:iCs w:val="0"/>
                <w:color w:val="000000"/>
                <w:kern w:val="0"/>
                <w:sz w:val="24"/>
                <w:szCs w:val="24"/>
                <w:highlight w:val="none"/>
                <w:u w:val="none"/>
                <w:lang w:val="en-US" w:eastAsia="zh-CN" w:bidi="ar"/>
              </w:rPr>
              <w:t>0分）</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社会效益（20分）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负债本金减少额</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≥30000万元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lang w:val="en-US"/>
              </w:rPr>
            </w:pPr>
            <w:r>
              <w:rPr>
                <w:rFonts w:hint="default" w:ascii="Times New Roman" w:hAnsi="Times New Roman" w:cs="Times New Roman"/>
                <w:i w:val="0"/>
                <w:iCs w:val="0"/>
                <w:color w:val="000000"/>
                <w:kern w:val="0"/>
                <w:sz w:val="24"/>
                <w:szCs w:val="24"/>
                <w:highlight w:val="none"/>
                <w:u w:val="none"/>
                <w:lang w:val="en-US" w:eastAsia="zh-CN" w:bidi="ar"/>
              </w:rPr>
              <w:t>20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考察项目实施后负债减少情况。</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项目实施降低了交通运输厅负债余额。</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达到目标值得满分，否则不得分。</w:t>
            </w: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2022年</w:t>
            </w:r>
            <w:r>
              <w:rPr>
                <w:rFonts w:hint="eastAsia" w:ascii="Times New Roman" w:hAnsi="Times New Roman" w:cs="Times New Roman"/>
                <w:i w:val="0"/>
                <w:iCs w:val="0"/>
                <w:color w:val="000000"/>
                <w:kern w:val="0"/>
                <w:sz w:val="24"/>
                <w:szCs w:val="24"/>
                <w:highlight w:val="none"/>
                <w:u w:val="none"/>
                <w:lang w:val="en-US" w:eastAsia="zh-CN" w:bidi="ar"/>
              </w:rPr>
              <w:t>末</w:t>
            </w:r>
            <w:r>
              <w:rPr>
                <w:rFonts w:hint="default" w:ascii="Times New Roman" w:hAnsi="Times New Roman" w:eastAsia="仿宋_GB2312" w:cs="Times New Roman"/>
                <w:i w:val="0"/>
                <w:iCs w:val="0"/>
                <w:color w:val="000000"/>
                <w:kern w:val="0"/>
                <w:sz w:val="24"/>
                <w:szCs w:val="24"/>
                <w:highlight w:val="none"/>
                <w:u w:val="none"/>
                <w:lang w:val="en-US" w:eastAsia="zh-CN" w:bidi="ar"/>
              </w:rPr>
              <w:t>高速公路建设贷款债务余额为392,691.21万元，2023年实际偿还本金32,144.80万元，2023年末高速公路建设贷款债务余额为360,531.22万元，项目实施降低了交通运输厅负债余额</w:t>
            </w:r>
            <w:r>
              <w:rPr>
                <w:rFonts w:hint="eastAsia" w:ascii="Times New Roman" w:hAnsi="Times New Roman" w:eastAsia="仿宋_GB2312" w:cs="Times New Roman"/>
                <w:i w:val="0"/>
                <w:iCs w:val="0"/>
                <w:color w:val="000000"/>
                <w:kern w:val="0"/>
                <w:sz w:val="24"/>
                <w:szCs w:val="24"/>
                <w:highlight w:val="none"/>
                <w:u w:val="none"/>
                <w:lang w:val="en-US" w:eastAsia="zh-CN" w:bidi="ar"/>
              </w:rPr>
              <w:t>超过</w:t>
            </w:r>
            <w:r>
              <w:rPr>
                <w:rFonts w:hint="eastAsia" w:cs="Times New Roman"/>
                <w:i w:val="0"/>
                <w:iCs w:val="0"/>
                <w:color w:val="000000"/>
                <w:kern w:val="0"/>
                <w:sz w:val="24"/>
                <w:szCs w:val="24"/>
                <w:highlight w:val="none"/>
                <w:u w:val="none"/>
                <w:lang w:val="en-US" w:eastAsia="zh-CN" w:bidi="ar"/>
              </w:rPr>
              <w:t>30</w:t>
            </w:r>
            <w:r>
              <w:rPr>
                <w:rFonts w:hint="eastAsia" w:ascii="Times New Roman" w:hAnsi="Times New Roman" w:eastAsia="仿宋_GB2312" w:cs="Times New Roman"/>
                <w:i w:val="0"/>
                <w:iCs w:val="0"/>
                <w:color w:val="000000"/>
                <w:kern w:val="0"/>
                <w:sz w:val="24"/>
                <w:szCs w:val="24"/>
                <w:highlight w:val="none"/>
                <w:u w:val="none"/>
                <w:lang w:val="en-US" w:eastAsia="zh-CN" w:bidi="ar"/>
              </w:rPr>
              <w:t>,</w:t>
            </w:r>
            <w:r>
              <w:rPr>
                <w:rFonts w:hint="eastAsia" w:cs="Times New Roman"/>
                <w:i w:val="0"/>
                <w:iCs w:val="0"/>
                <w:color w:val="000000"/>
                <w:kern w:val="0"/>
                <w:sz w:val="24"/>
                <w:szCs w:val="24"/>
                <w:highlight w:val="none"/>
                <w:u w:val="none"/>
                <w:lang w:val="en-US" w:eastAsia="zh-CN" w:bidi="ar"/>
              </w:rPr>
              <w:t>0</w:t>
            </w:r>
            <w:r>
              <w:rPr>
                <w:rFonts w:hint="eastAsia" w:ascii="Times New Roman" w:hAnsi="Times New Roman" w:eastAsia="仿宋_GB2312" w:cs="Times New Roman"/>
                <w:i w:val="0"/>
                <w:iCs w:val="0"/>
                <w:color w:val="000000"/>
                <w:kern w:val="0"/>
                <w:sz w:val="24"/>
                <w:szCs w:val="24"/>
                <w:highlight w:val="none"/>
                <w:u w:val="none"/>
                <w:lang w:val="en-US" w:eastAsia="zh-CN" w:bidi="ar"/>
              </w:rPr>
              <w:t>00.00万元</w:t>
            </w:r>
            <w:r>
              <w:rPr>
                <w:rFonts w:hint="default" w:ascii="Times New Roman" w:hAnsi="Times New Roman" w:eastAsia="仿宋_GB2312" w:cs="Times New Roman"/>
                <w:i w:val="0"/>
                <w:iCs w:val="0"/>
                <w:color w:val="000000"/>
                <w:kern w:val="0"/>
                <w:sz w:val="24"/>
                <w:szCs w:val="24"/>
                <w:highlight w:val="none"/>
                <w:u w:val="none"/>
                <w:lang w:val="en-US" w:eastAsia="zh-CN" w:bidi="ar"/>
              </w:rPr>
              <w:t>，该指标得满分。</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cs="Times New Roman"/>
                <w:i w:val="0"/>
                <w:iCs w:val="0"/>
                <w:color w:val="000000"/>
                <w:kern w:val="0"/>
                <w:sz w:val="24"/>
                <w:szCs w:val="24"/>
                <w:highlight w:val="none"/>
                <w:u w:val="none"/>
                <w:lang w:val="en-US" w:eastAsia="zh-CN" w:bidi="ar"/>
              </w:rPr>
              <w:t>20</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133"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100</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3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b/>
                <w:bCs/>
                <w:i w:val="0"/>
                <w:iCs w:val="0"/>
                <w:color w:val="000000"/>
                <w:sz w:val="24"/>
                <w:szCs w:val="24"/>
                <w:highlight w:val="none"/>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9</w:t>
            </w:r>
            <w:r>
              <w:rPr>
                <w:rFonts w:hint="eastAsia" w:cs="Times New Roman"/>
                <w:b/>
                <w:bCs/>
                <w:i w:val="0"/>
                <w:iCs w:val="0"/>
                <w:color w:val="000000"/>
                <w:kern w:val="0"/>
                <w:sz w:val="24"/>
                <w:szCs w:val="24"/>
                <w:highlight w:val="none"/>
                <w:u w:val="none"/>
                <w:lang w:val="en-US" w:eastAsia="zh-CN" w:bidi="ar"/>
              </w:rPr>
              <w:t>9</w:t>
            </w:r>
            <w:r>
              <w:rPr>
                <w:rFonts w:hint="default" w:ascii="Times New Roman" w:hAnsi="Times New Roman" w:eastAsia="仿宋_GB2312" w:cs="Times New Roman"/>
                <w:b/>
                <w:bCs/>
                <w:i w:val="0"/>
                <w:iCs w:val="0"/>
                <w:color w:val="000000"/>
                <w:kern w:val="0"/>
                <w:sz w:val="24"/>
                <w:szCs w:val="24"/>
                <w:highlight w:val="none"/>
                <w:u w:val="none"/>
                <w:lang w:val="en-US" w:eastAsia="zh-CN" w:bidi="ar"/>
              </w:rPr>
              <w:t xml:space="preserve">.00 </w:t>
            </w:r>
          </w:p>
        </w:tc>
      </w:tr>
    </w:tbl>
    <w:p>
      <w:pPr>
        <w:pageBreakBefore w:val="0"/>
        <w:kinsoku/>
        <w:overflowPunct/>
        <w:topLinePunct w:val="0"/>
        <w:bidi w:val="0"/>
        <w:spacing w:line="560" w:lineRule="exact"/>
        <w:ind w:left="0" w:leftChars="0" w:firstLine="0" w:firstLineChars="0"/>
        <w:rPr>
          <w:rFonts w:hint="default" w:ascii="Times New Roman" w:hAnsi="Times New Roman" w:cs="Times New Roman"/>
          <w:color w:val="auto"/>
          <w:highlight w:val="none"/>
          <w:lang w:val="en-US" w:eastAsia="zh-CN"/>
        </w:rPr>
      </w:pPr>
    </w:p>
    <w:p>
      <w:pPr>
        <w:pageBreakBefore w:val="0"/>
        <w:kinsoku/>
        <w:overflowPunct/>
        <w:topLinePunct w:val="0"/>
        <w:bidi w:val="0"/>
        <w:spacing w:line="560" w:lineRule="exact"/>
        <w:ind w:left="0" w:leftChars="0" w:firstLine="0" w:firstLineChars="0"/>
        <w:rPr>
          <w:rFonts w:hint="default" w:ascii="Times New Roman" w:hAnsi="Times New Roman" w:cs="Times New Roman"/>
          <w:color w:val="auto"/>
          <w:highlight w:val="none"/>
          <w:lang w:val="en-US" w:eastAsia="zh-CN"/>
        </w:rPr>
      </w:pPr>
    </w:p>
    <w:p>
      <w:pPr>
        <w:pageBreakBefore w:val="0"/>
        <w:kinsoku/>
        <w:overflowPunct/>
        <w:topLinePunct w:val="0"/>
        <w:bidi w:val="0"/>
        <w:spacing w:line="560" w:lineRule="exact"/>
        <w:ind w:left="0" w:leftChars="0" w:firstLine="0" w:firstLineChars="0"/>
        <w:rPr>
          <w:rFonts w:hint="default" w:ascii="Times New Roman" w:hAnsi="Times New Roman" w:cs="Times New Roman"/>
          <w:color w:val="auto"/>
          <w:highlight w:val="none"/>
          <w:lang w:val="en-US" w:eastAsia="zh-CN"/>
        </w:rPr>
      </w:pPr>
    </w:p>
    <w:p>
      <w:pPr>
        <w:pageBreakBefore w:val="0"/>
        <w:kinsoku/>
        <w:overflowPunct/>
        <w:topLinePunct w:val="0"/>
        <w:bidi w:val="0"/>
        <w:spacing w:line="560" w:lineRule="exact"/>
        <w:ind w:left="0" w:leftChars="0" w:firstLine="0" w:firstLineChars="0"/>
        <w:rPr>
          <w:rFonts w:hint="default" w:ascii="Times New Roman" w:hAnsi="Times New Roman" w:cs="Times New Roman"/>
          <w:color w:val="auto"/>
          <w:highlight w:val="none"/>
          <w:lang w:val="en-US" w:eastAsia="zh-CN"/>
        </w:rPr>
      </w:pPr>
    </w:p>
    <w:p>
      <w:pPr>
        <w:pageBreakBefore w:val="0"/>
        <w:kinsoku/>
        <w:overflowPunct/>
        <w:topLinePunct w:val="0"/>
        <w:bidi w:val="0"/>
        <w:spacing w:line="560" w:lineRule="exact"/>
        <w:ind w:left="0" w:leftChars="0" w:firstLine="0" w:firstLineChars="0"/>
        <w:rPr>
          <w:rFonts w:hint="default" w:ascii="Times New Roman" w:hAnsi="Times New Roman" w:cs="Times New Roman"/>
          <w:color w:val="auto"/>
          <w:highlight w:val="none"/>
          <w:lang w:val="en-US" w:eastAsia="zh-CN"/>
        </w:rPr>
      </w:pPr>
    </w:p>
    <w:p>
      <w:pPr>
        <w:pageBreakBefore w:val="0"/>
        <w:kinsoku/>
        <w:overflowPunct/>
        <w:topLinePunct w:val="0"/>
        <w:bidi w:val="0"/>
        <w:spacing w:line="560" w:lineRule="exact"/>
        <w:ind w:left="0" w:leftChars="0" w:firstLine="0" w:firstLineChars="0"/>
        <w:rPr>
          <w:rFonts w:hint="default" w:ascii="Times New Roman" w:hAnsi="Times New Roman" w:cs="Times New Roman"/>
          <w:color w:val="auto"/>
          <w:highlight w:val="none"/>
          <w:lang w:val="en-US" w:eastAsia="zh-CN"/>
        </w:rPr>
      </w:pPr>
    </w:p>
    <w:p>
      <w:pPr>
        <w:pageBreakBefore w:val="0"/>
        <w:kinsoku/>
        <w:overflowPunct/>
        <w:topLinePunct w:val="0"/>
        <w:bidi w:val="0"/>
        <w:spacing w:line="560" w:lineRule="exact"/>
        <w:ind w:left="0" w:leftChars="0" w:firstLine="0" w:firstLineChars="0"/>
        <w:rPr>
          <w:rFonts w:hint="default" w:ascii="Times New Roman" w:hAnsi="Times New Roman" w:cs="Times New Roman"/>
          <w:color w:val="auto"/>
          <w:highlight w:val="none"/>
          <w:lang w:val="en-US" w:eastAsia="zh-CN"/>
        </w:rPr>
      </w:pPr>
    </w:p>
    <w:p>
      <w:pPr>
        <w:pageBreakBefore w:val="0"/>
        <w:kinsoku/>
        <w:overflowPunct/>
        <w:topLinePunct w:val="0"/>
        <w:bidi w:val="0"/>
        <w:spacing w:line="560" w:lineRule="exact"/>
        <w:ind w:left="0" w:leftChars="0" w:firstLine="0" w:firstLineChars="0"/>
        <w:rPr>
          <w:rFonts w:hint="default" w:ascii="Times New Roman" w:hAnsi="Times New Roman" w:cs="Times New Roman"/>
          <w:color w:val="auto"/>
          <w:highlight w:val="none"/>
          <w:lang w:val="en-US" w:eastAsia="zh-CN"/>
        </w:rPr>
      </w:pPr>
    </w:p>
    <w:sectPr>
      <w:headerReference r:id="rId15" w:type="default"/>
      <w:footerReference r:id="rId16" w:type="default"/>
      <w:pgSz w:w="16838" w:h="11906" w:orient="landscape"/>
      <w:pgMar w:top="1984" w:right="1417" w:bottom="1417" w:left="141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Songti SC">
    <w:altName w:val="宋体"/>
    <w:panose1 w:val="00000000000000000000"/>
    <w:charset w:val="86"/>
    <w:family w:val="auto"/>
    <w:pitch w:val="default"/>
    <w:sig w:usb0="00000000" w:usb1="00000000" w:usb2="00000000" w:usb3="00000000" w:csb0="00040000" w:csb1="00000000"/>
  </w:font>
  <w:font w:name="DejaVu Sans">
    <w:panose1 w:val="020B0603030804020204"/>
    <w:charset w:val="00"/>
    <w:family w:val="roman"/>
    <w:pitch w:val="default"/>
    <w:sig w:usb0="E7006EFF" w:usb1="D200FDFF" w:usb2="0A246029" w:usb3="0400200C" w:csb0="600001FF" w:csb1="DFFF0000"/>
  </w:font>
  <w:font w:name="MingLiU">
    <w:altName w:val="PMingLiU-ExtB"/>
    <w:panose1 w:val="02020509000000000000"/>
    <w:charset w:val="88"/>
    <w:family w:val="modern"/>
    <w:pitch w:val="default"/>
    <w:sig w:usb0="00000000" w:usb1="00000000" w:usb2="00000016" w:usb3="00000000" w:csb0="00100001" w:csb1="00000000"/>
  </w:font>
  <w:font w:name="方正书宋_GBK">
    <w:panose1 w:val="02000000000000000000"/>
    <w:charset w:val="86"/>
    <w:family w:val="auto"/>
    <w:pitch w:val="default"/>
    <w:sig w:usb0="00000001" w:usb1="08000000" w:usb2="00000000" w:usb3="00000000" w:csb0="00040000" w:csb1="00000000"/>
  </w:font>
  <w:font w:name="方正黑体简体">
    <w:altName w:val="微软雅黑"/>
    <w:panose1 w:val="02000000000000000000"/>
    <w:charset w:val="86"/>
    <w:family w:val="auto"/>
    <w:pitch w:val="default"/>
    <w:sig w:usb0="00000000" w:usb1="00000000"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Heiti SC Medium">
    <w:altName w:val="宋体"/>
    <w:panose1 w:val="00000000000000000000"/>
    <w:charset w:val="86"/>
    <w:family w:val="auto"/>
    <w:pitch w:val="default"/>
    <w:sig w:usb0="00000000" w:usb1="00000000" w:usb2="00000000" w:usb3="00000000" w:csb0="203E0000" w:csb1="00000000"/>
  </w:font>
  <w:font w:name="楷体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ind w:firstLine="560"/>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left="0" w:leftChars="0" w:firstLine="0" w:firstLineChars="0"/>
                            <w:rPr>
                              <w:sz w:val="32"/>
                              <w:szCs w:val="32"/>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1"/>
                      <w:ind w:left="0" w:leftChars="0" w:firstLine="0" w:firstLineChars="0"/>
                      <w:rPr>
                        <w:sz w:val="32"/>
                        <w:szCs w:val="32"/>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v:textbox>
            </v:shape>
          </w:pict>
        </mc:Fallback>
      </mc:AlternateContent>
    </w:r>
    <w:r>
      <w:rPr>
        <w:sz w:val="28"/>
        <w:szCs w:val="2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left="0" w:leftChars="0" w:firstLine="0" w:firstLineChars="0"/>
                            <w:rPr>
                              <w:sz w:val="32"/>
                              <w:szCs w:val="32"/>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37</w:t>
                          </w:r>
                          <w:r>
                            <w:rPr>
                              <w:sz w:val="30"/>
                              <w:szCs w:val="30"/>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1"/>
                      <w:ind w:left="0" w:leftChars="0" w:firstLine="0" w:firstLineChars="0"/>
                      <w:rPr>
                        <w:sz w:val="32"/>
                        <w:szCs w:val="32"/>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37</w:t>
                    </w:r>
                    <w:r>
                      <w:rPr>
                        <w:sz w:val="30"/>
                        <w:szCs w:val="3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D7ECC7"/>
    <w:multiLevelType w:val="singleLevel"/>
    <w:tmpl w:val="11D7ECC7"/>
    <w:lvl w:ilvl="0" w:tentative="0">
      <w:start w:val="5"/>
      <w:numFmt w:val="chineseCounting"/>
      <w:suff w:val="nothing"/>
      <w:lvlText w:val="%1、"/>
      <w:lvlJc w:val="left"/>
      <w:rPr>
        <w:rFonts w:hint="eastAsia"/>
      </w:rPr>
    </w:lvl>
  </w:abstractNum>
  <w:abstractNum w:abstractNumId="1">
    <w:nsid w:val="31ADC929"/>
    <w:multiLevelType w:val="singleLevel"/>
    <w:tmpl w:val="31ADC929"/>
    <w:lvl w:ilvl="0" w:tentative="0">
      <w:start w:val="1"/>
      <w:numFmt w:val="decimal"/>
      <w:suff w:val="nothing"/>
      <w:lvlText w:val="（%1）"/>
      <w:lvlJc w:val="left"/>
    </w:lvl>
  </w:abstractNum>
  <w:abstractNum w:abstractNumId="2">
    <w:nsid w:val="5AF1088E"/>
    <w:multiLevelType w:val="multilevel"/>
    <w:tmpl w:val="5AF1088E"/>
    <w:lvl w:ilvl="0" w:tentative="0">
      <w:start w:val="1"/>
      <w:numFmt w:val="chineseCountingThousand"/>
      <w:pStyle w:val="29"/>
      <w:suff w:val="space"/>
      <w:lvlText w:val="%1、"/>
      <w:lvlJc w:val="left"/>
      <w:pPr>
        <w:ind w:left="3543" w:hanging="425"/>
      </w:pPr>
      <w:rPr>
        <w:rFonts w:hint="eastAsia" w:eastAsia="宋体"/>
        <w:color w:val="auto"/>
        <w:sz w:val="36"/>
      </w:rPr>
    </w:lvl>
    <w:lvl w:ilvl="1" w:tentative="0">
      <w:start w:val="1"/>
      <w:numFmt w:val="decimal"/>
      <w:lvlRestart w:val="0"/>
      <w:pStyle w:val="28"/>
      <w:isLgl/>
      <w:suff w:val="space"/>
      <w:lvlText w:val="%1.%2"/>
      <w:lvlJc w:val="left"/>
      <w:pPr>
        <w:ind w:left="425" w:hanging="425"/>
      </w:pPr>
      <w:rPr>
        <w:rFonts w:ascii="宋体" w:hAnsi="宋体" w:eastAsia="宋体"/>
        <w:sz w:val="32"/>
        <w:szCs w:val="32"/>
      </w:rPr>
    </w:lvl>
    <w:lvl w:ilvl="2" w:tentative="0">
      <w:start w:val="1"/>
      <w:numFmt w:val="decimal"/>
      <w:lvlRestart w:val="0"/>
      <w:pStyle w:val="27"/>
      <w:isLgl/>
      <w:suff w:val="space"/>
      <w:lvlText w:val="%1.%2.%3"/>
      <w:lvlJc w:val="left"/>
      <w:pPr>
        <w:ind w:left="425" w:hanging="425"/>
      </w:pPr>
      <w:rPr>
        <w:rFonts w:ascii="宋体" w:hAnsi="宋体" w:eastAsia="宋体"/>
        <w:sz w:val="28"/>
        <w:szCs w:val="28"/>
      </w:rPr>
    </w:lvl>
    <w:lvl w:ilvl="3" w:tentative="0">
      <w:start w:val="1"/>
      <w:numFmt w:val="decimal"/>
      <w:lvlRestart w:val="0"/>
      <w:pStyle w:val="26"/>
      <w:isLgl/>
      <w:suff w:val="space"/>
      <w:lvlText w:val="%1.%2.%3.%4"/>
      <w:lvlJc w:val="left"/>
      <w:pPr>
        <w:ind w:left="425" w:hanging="425"/>
      </w:pPr>
      <w:rPr>
        <w:rFonts w:hint="eastAsia" w:ascii="宋体" w:hAnsi="宋体" w:eastAsia="宋体"/>
        <w:b/>
        <w:bCs w:val="0"/>
        <w:sz w:val="24"/>
      </w:rPr>
    </w:lvl>
    <w:lvl w:ilvl="4" w:tentative="0">
      <w:start w:val="1"/>
      <w:numFmt w:val="decimal"/>
      <w:lvlRestart w:val="0"/>
      <w:isLgl/>
      <w:suff w:val="space"/>
      <w:lvlText w:val="%1.%2.%3.%4.%5"/>
      <w:lvlJc w:val="left"/>
      <w:pPr>
        <w:ind w:left="425" w:hanging="425"/>
      </w:pPr>
      <w:rPr>
        <w:rFonts w:hint="eastAsia" w:ascii="宋体" w:hAnsi="宋体" w:eastAsia="宋体"/>
        <w:sz w:val="24"/>
      </w:rPr>
    </w:lvl>
    <w:lvl w:ilvl="5" w:tentative="0">
      <w:start w:val="1"/>
      <w:numFmt w:val="decimal"/>
      <w:lvlRestart w:val="0"/>
      <w:isLgl/>
      <w:suff w:val="space"/>
      <w:lvlText w:val="%1.%2.%3.%4.%5.%6"/>
      <w:lvlJc w:val="left"/>
      <w:pPr>
        <w:ind w:left="425" w:hanging="425"/>
      </w:pPr>
      <w:rPr>
        <w:rFonts w:hint="eastAsia" w:ascii="宋体" w:hAnsi="宋体" w:eastAsia="宋体"/>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0DDAB6A"/>
    <w:multiLevelType w:val="singleLevel"/>
    <w:tmpl w:val="60DDAB6A"/>
    <w:lvl w:ilvl="0" w:tentative="0">
      <w:start w:val="3"/>
      <w:numFmt w:val="chineseCounting"/>
      <w:suff w:val="nothing"/>
      <w:lvlText w:val="（%1）"/>
      <w:lvlJc w:val="left"/>
    </w:lvl>
  </w:abstractNum>
  <w:abstractNum w:abstractNumId="4">
    <w:nsid w:val="60DDAD03"/>
    <w:multiLevelType w:val="singleLevel"/>
    <w:tmpl w:val="60DDAD03"/>
    <w:lvl w:ilvl="0" w:tentative="0">
      <w:start w:val="2"/>
      <w:numFmt w:val="chineseCounting"/>
      <w:suff w:val="nothing"/>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FD7CC992"/>
    <w:rsid w:val="00162CF6"/>
    <w:rsid w:val="00451A09"/>
    <w:rsid w:val="0065711C"/>
    <w:rsid w:val="0068519D"/>
    <w:rsid w:val="00955E83"/>
    <w:rsid w:val="00AC7E19"/>
    <w:rsid w:val="00C10385"/>
    <w:rsid w:val="00CA5BEC"/>
    <w:rsid w:val="00CF0375"/>
    <w:rsid w:val="00D329B5"/>
    <w:rsid w:val="00D42D94"/>
    <w:rsid w:val="00D86C32"/>
    <w:rsid w:val="00E45062"/>
    <w:rsid w:val="00F00CBD"/>
    <w:rsid w:val="00FB21B5"/>
    <w:rsid w:val="010827C0"/>
    <w:rsid w:val="014525BC"/>
    <w:rsid w:val="01FB0577"/>
    <w:rsid w:val="025F0B06"/>
    <w:rsid w:val="03092E78"/>
    <w:rsid w:val="03A870DF"/>
    <w:rsid w:val="03E02093"/>
    <w:rsid w:val="04785EAF"/>
    <w:rsid w:val="058054F8"/>
    <w:rsid w:val="0581309B"/>
    <w:rsid w:val="05E95E9E"/>
    <w:rsid w:val="06C76C7A"/>
    <w:rsid w:val="06E05B29"/>
    <w:rsid w:val="076170CE"/>
    <w:rsid w:val="08080399"/>
    <w:rsid w:val="08093192"/>
    <w:rsid w:val="080A5070"/>
    <w:rsid w:val="0837451B"/>
    <w:rsid w:val="084A3978"/>
    <w:rsid w:val="09236DE8"/>
    <w:rsid w:val="092F4AD4"/>
    <w:rsid w:val="09540539"/>
    <w:rsid w:val="09547CAD"/>
    <w:rsid w:val="095641C3"/>
    <w:rsid w:val="09622C8A"/>
    <w:rsid w:val="09A32BE1"/>
    <w:rsid w:val="09CD758D"/>
    <w:rsid w:val="09FD3567"/>
    <w:rsid w:val="0A2D7BD9"/>
    <w:rsid w:val="0A3665F0"/>
    <w:rsid w:val="0ACB43A6"/>
    <w:rsid w:val="0AF1065F"/>
    <w:rsid w:val="0B126E14"/>
    <w:rsid w:val="0B275F39"/>
    <w:rsid w:val="0B2B2074"/>
    <w:rsid w:val="0CD8573D"/>
    <w:rsid w:val="0D231B21"/>
    <w:rsid w:val="0D983B77"/>
    <w:rsid w:val="0E0F33E0"/>
    <w:rsid w:val="0E5C7119"/>
    <w:rsid w:val="0F4A0448"/>
    <w:rsid w:val="0F61261B"/>
    <w:rsid w:val="0FB90886"/>
    <w:rsid w:val="10095029"/>
    <w:rsid w:val="101451B2"/>
    <w:rsid w:val="108C3868"/>
    <w:rsid w:val="108F25B6"/>
    <w:rsid w:val="114B7B7E"/>
    <w:rsid w:val="11DE4E56"/>
    <w:rsid w:val="124E41FC"/>
    <w:rsid w:val="12796360"/>
    <w:rsid w:val="12A10CC7"/>
    <w:rsid w:val="12C30A38"/>
    <w:rsid w:val="12C756CC"/>
    <w:rsid w:val="13464D3E"/>
    <w:rsid w:val="144B318D"/>
    <w:rsid w:val="161530F8"/>
    <w:rsid w:val="16585B40"/>
    <w:rsid w:val="166019A4"/>
    <w:rsid w:val="16A23725"/>
    <w:rsid w:val="16B754B6"/>
    <w:rsid w:val="17FDF2DF"/>
    <w:rsid w:val="19DA102C"/>
    <w:rsid w:val="1A1B6A31"/>
    <w:rsid w:val="1A3441CE"/>
    <w:rsid w:val="1A3A4662"/>
    <w:rsid w:val="1A7260D3"/>
    <w:rsid w:val="1AC3111E"/>
    <w:rsid w:val="1C9553F8"/>
    <w:rsid w:val="1CC3154D"/>
    <w:rsid w:val="1CEC56C6"/>
    <w:rsid w:val="1DFF01EE"/>
    <w:rsid w:val="1E291F1C"/>
    <w:rsid w:val="1E5F0B33"/>
    <w:rsid w:val="1E625D07"/>
    <w:rsid w:val="1E650DFA"/>
    <w:rsid w:val="1EA79870"/>
    <w:rsid w:val="1ED55447"/>
    <w:rsid w:val="1EE324D4"/>
    <w:rsid w:val="1FA57D10"/>
    <w:rsid w:val="20384BAE"/>
    <w:rsid w:val="214A70DA"/>
    <w:rsid w:val="2187594D"/>
    <w:rsid w:val="229015D7"/>
    <w:rsid w:val="22A97EC2"/>
    <w:rsid w:val="236E2625"/>
    <w:rsid w:val="250501B3"/>
    <w:rsid w:val="25091FEC"/>
    <w:rsid w:val="25AF576B"/>
    <w:rsid w:val="26063AA3"/>
    <w:rsid w:val="261E4E9E"/>
    <w:rsid w:val="26304DA3"/>
    <w:rsid w:val="2632668D"/>
    <w:rsid w:val="263F56A2"/>
    <w:rsid w:val="266D1E70"/>
    <w:rsid w:val="27960276"/>
    <w:rsid w:val="27D066E4"/>
    <w:rsid w:val="283755B5"/>
    <w:rsid w:val="28905912"/>
    <w:rsid w:val="29766698"/>
    <w:rsid w:val="29E50F3A"/>
    <w:rsid w:val="29FE1A6C"/>
    <w:rsid w:val="2A3A313B"/>
    <w:rsid w:val="2A6E50CD"/>
    <w:rsid w:val="2A890A1C"/>
    <w:rsid w:val="2ACA50D1"/>
    <w:rsid w:val="2B286C3A"/>
    <w:rsid w:val="2B53036F"/>
    <w:rsid w:val="2BFD7BFA"/>
    <w:rsid w:val="2CD94B09"/>
    <w:rsid w:val="2E552C39"/>
    <w:rsid w:val="2E674761"/>
    <w:rsid w:val="2E9A2215"/>
    <w:rsid w:val="2EEF31EF"/>
    <w:rsid w:val="2F1B5F54"/>
    <w:rsid w:val="2F5FDADE"/>
    <w:rsid w:val="2FA60C74"/>
    <w:rsid w:val="315D7A34"/>
    <w:rsid w:val="318E0B1B"/>
    <w:rsid w:val="31D43E75"/>
    <w:rsid w:val="32DE5E0A"/>
    <w:rsid w:val="332A7579"/>
    <w:rsid w:val="33396BAF"/>
    <w:rsid w:val="336F654B"/>
    <w:rsid w:val="33B13553"/>
    <w:rsid w:val="33D26ADA"/>
    <w:rsid w:val="33D61C65"/>
    <w:rsid w:val="347A2085"/>
    <w:rsid w:val="348E5811"/>
    <w:rsid w:val="34AA6148"/>
    <w:rsid w:val="34CF6206"/>
    <w:rsid w:val="35794430"/>
    <w:rsid w:val="35ED092C"/>
    <w:rsid w:val="3703372E"/>
    <w:rsid w:val="3792665B"/>
    <w:rsid w:val="37FB2297"/>
    <w:rsid w:val="3851701B"/>
    <w:rsid w:val="3877286A"/>
    <w:rsid w:val="39243934"/>
    <w:rsid w:val="39452033"/>
    <w:rsid w:val="39B0341A"/>
    <w:rsid w:val="3A872F07"/>
    <w:rsid w:val="3AF27297"/>
    <w:rsid w:val="3B722D63"/>
    <w:rsid w:val="3BA7C696"/>
    <w:rsid w:val="3C34579D"/>
    <w:rsid w:val="3C4F6F1A"/>
    <w:rsid w:val="3CAD1E92"/>
    <w:rsid w:val="3E085773"/>
    <w:rsid w:val="3E5B50F9"/>
    <w:rsid w:val="3EE75F67"/>
    <w:rsid w:val="3F5B2DD4"/>
    <w:rsid w:val="3FA36CBA"/>
    <w:rsid w:val="3FBA7BF6"/>
    <w:rsid w:val="3FCF2D51"/>
    <w:rsid w:val="3FEA1BB8"/>
    <w:rsid w:val="406D5BC1"/>
    <w:rsid w:val="40F005A0"/>
    <w:rsid w:val="41703303"/>
    <w:rsid w:val="41BF069E"/>
    <w:rsid w:val="43AF6445"/>
    <w:rsid w:val="43E52505"/>
    <w:rsid w:val="445150C0"/>
    <w:rsid w:val="445C2D2C"/>
    <w:rsid w:val="44654E01"/>
    <w:rsid w:val="44764BDD"/>
    <w:rsid w:val="44E6591D"/>
    <w:rsid w:val="45E16709"/>
    <w:rsid w:val="4624366D"/>
    <w:rsid w:val="47033E8D"/>
    <w:rsid w:val="47372A84"/>
    <w:rsid w:val="47BA2EFA"/>
    <w:rsid w:val="47DE479C"/>
    <w:rsid w:val="486D54AC"/>
    <w:rsid w:val="487E46E3"/>
    <w:rsid w:val="48F03833"/>
    <w:rsid w:val="49DD71DE"/>
    <w:rsid w:val="4A0A4480"/>
    <w:rsid w:val="4B1252D7"/>
    <w:rsid w:val="4BB07C37"/>
    <w:rsid w:val="4BBD77C0"/>
    <w:rsid w:val="4CC60EB8"/>
    <w:rsid w:val="4CCE1CCF"/>
    <w:rsid w:val="4D0E66E5"/>
    <w:rsid w:val="4E882D43"/>
    <w:rsid w:val="4EEC76B8"/>
    <w:rsid w:val="4EF9DD98"/>
    <w:rsid w:val="4F1C73CE"/>
    <w:rsid w:val="4FA20B46"/>
    <w:rsid w:val="4FF14F05"/>
    <w:rsid w:val="500378B5"/>
    <w:rsid w:val="505A6814"/>
    <w:rsid w:val="508608B3"/>
    <w:rsid w:val="50A31AB2"/>
    <w:rsid w:val="50C128E0"/>
    <w:rsid w:val="514057E0"/>
    <w:rsid w:val="51FF4C10"/>
    <w:rsid w:val="522A0FD2"/>
    <w:rsid w:val="52686943"/>
    <w:rsid w:val="52734456"/>
    <w:rsid w:val="52EA2027"/>
    <w:rsid w:val="53175E82"/>
    <w:rsid w:val="53210238"/>
    <w:rsid w:val="532854A7"/>
    <w:rsid w:val="532A7941"/>
    <w:rsid w:val="549270A0"/>
    <w:rsid w:val="54D538DD"/>
    <w:rsid w:val="5602522D"/>
    <w:rsid w:val="5657273C"/>
    <w:rsid w:val="56995020"/>
    <w:rsid w:val="57290567"/>
    <w:rsid w:val="5745617C"/>
    <w:rsid w:val="57ED1FB5"/>
    <w:rsid w:val="58B02697"/>
    <w:rsid w:val="58D57178"/>
    <w:rsid w:val="58D74012"/>
    <w:rsid w:val="5A07690D"/>
    <w:rsid w:val="5ABC5958"/>
    <w:rsid w:val="5ACD216B"/>
    <w:rsid w:val="5AD252C0"/>
    <w:rsid w:val="5AEC2C48"/>
    <w:rsid w:val="5B3D2846"/>
    <w:rsid w:val="5B6055E3"/>
    <w:rsid w:val="5B931D1A"/>
    <w:rsid w:val="5C0A1B37"/>
    <w:rsid w:val="5C7A151B"/>
    <w:rsid w:val="5CB37833"/>
    <w:rsid w:val="5E125962"/>
    <w:rsid w:val="5E7B3B42"/>
    <w:rsid w:val="5EAA4F75"/>
    <w:rsid w:val="5EBF7191"/>
    <w:rsid w:val="5EF95222"/>
    <w:rsid w:val="5FD7515B"/>
    <w:rsid w:val="5FDF333C"/>
    <w:rsid w:val="606E0BAA"/>
    <w:rsid w:val="60F778E6"/>
    <w:rsid w:val="614C71D9"/>
    <w:rsid w:val="61637CC2"/>
    <w:rsid w:val="622F10AC"/>
    <w:rsid w:val="629E5E1A"/>
    <w:rsid w:val="63544DA0"/>
    <w:rsid w:val="63936767"/>
    <w:rsid w:val="63B7399B"/>
    <w:rsid w:val="64BB489D"/>
    <w:rsid w:val="64F47DAF"/>
    <w:rsid w:val="65311935"/>
    <w:rsid w:val="6533227E"/>
    <w:rsid w:val="657809E0"/>
    <w:rsid w:val="658A4894"/>
    <w:rsid w:val="66CA34BB"/>
    <w:rsid w:val="66CF7991"/>
    <w:rsid w:val="66F5BA99"/>
    <w:rsid w:val="676048A9"/>
    <w:rsid w:val="68E12566"/>
    <w:rsid w:val="690400C9"/>
    <w:rsid w:val="692C35CD"/>
    <w:rsid w:val="696329D3"/>
    <w:rsid w:val="6965127B"/>
    <w:rsid w:val="69884D00"/>
    <w:rsid w:val="698A7A5A"/>
    <w:rsid w:val="69F76592"/>
    <w:rsid w:val="6A1429D8"/>
    <w:rsid w:val="6A1A07A2"/>
    <w:rsid w:val="6A2D527E"/>
    <w:rsid w:val="6AA01401"/>
    <w:rsid w:val="6AE52868"/>
    <w:rsid w:val="6AF21CD5"/>
    <w:rsid w:val="6C094140"/>
    <w:rsid w:val="6C2B055A"/>
    <w:rsid w:val="6C417D7E"/>
    <w:rsid w:val="6D347FE5"/>
    <w:rsid w:val="6D494975"/>
    <w:rsid w:val="6D592EA5"/>
    <w:rsid w:val="6D8B5A9D"/>
    <w:rsid w:val="6DBEA8B9"/>
    <w:rsid w:val="6E6B596B"/>
    <w:rsid w:val="6ECBF29F"/>
    <w:rsid w:val="6EE62F40"/>
    <w:rsid w:val="6F2424DB"/>
    <w:rsid w:val="6F3B66E1"/>
    <w:rsid w:val="6F7B2183"/>
    <w:rsid w:val="6F7BD2EC"/>
    <w:rsid w:val="6F7E4E45"/>
    <w:rsid w:val="6F7F7BE5"/>
    <w:rsid w:val="6FD61503"/>
    <w:rsid w:val="6FFE9CB9"/>
    <w:rsid w:val="70393A2A"/>
    <w:rsid w:val="70403C5A"/>
    <w:rsid w:val="70502754"/>
    <w:rsid w:val="70A536E3"/>
    <w:rsid w:val="715D133E"/>
    <w:rsid w:val="72C64298"/>
    <w:rsid w:val="72D17E98"/>
    <w:rsid w:val="73C14A08"/>
    <w:rsid w:val="73F517ED"/>
    <w:rsid w:val="746521AA"/>
    <w:rsid w:val="75E74F8A"/>
    <w:rsid w:val="75FFA799"/>
    <w:rsid w:val="77F631D4"/>
    <w:rsid w:val="79406AC7"/>
    <w:rsid w:val="7AC2779E"/>
    <w:rsid w:val="7ACA3DAA"/>
    <w:rsid w:val="7B164183"/>
    <w:rsid w:val="7B3657D6"/>
    <w:rsid w:val="7B7F441F"/>
    <w:rsid w:val="7BF7F1F4"/>
    <w:rsid w:val="7C042B76"/>
    <w:rsid w:val="7C7878C2"/>
    <w:rsid w:val="7CE46BC0"/>
    <w:rsid w:val="7D576805"/>
    <w:rsid w:val="7DFB0D92"/>
    <w:rsid w:val="7E3965BB"/>
    <w:rsid w:val="7E465DCE"/>
    <w:rsid w:val="7F192494"/>
    <w:rsid w:val="7F4A7D85"/>
    <w:rsid w:val="7F5C78AC"/>
    <w:rsid w:val="7FCE90AB"/>
    <w:rsid w:val="7FDBF2DF"/>
    <w:rsid w:val="7FDCC1C8"/>
    <w:rsid w:val="7FEB6597"/>
    <w:rsid w:val="7FF65121"/>
    <w:rsid w:val="7FF7A9B4"/>
    <w:rsid w:val="9675F6EA"/>
    <w:rsid w:val="97DD6707"/>
    <w:rsid w:val="ADDC4017"/>
    <w:rsid w:val="AF2B0AEB"/>
    <w:rsid w:val="B7DE1657"/>
    <w:rsid w:val="B7DE3BB6"/>
    <w:rsid w:val="B7FF09ED"/>
    <w:rsid w:val="B7FF98EB"/>
    <w:rsid w:val="BB1FFCA6"/>
    <w:rsid w:val="BD7B6E9D"/>
    <w:rsid w:val="BDACF6A8"/>
    <w:rsid w:val="BEFD483D"/>
    <w:rsid w:val="BFF54C2C"/>
    <w:rsid w:val="C7F09D20"/>
    <w:rsid w:val="CFAD6A09"/>
    <w:rsid w:val="DE6F8EE6"/>
    <w:rsid w:val="DEEDEF29"/>
    <w:rsid w:val="DFBFFC11"/>
    <w:rsid w:val="DFF7EFC2"/>
    <w:rsid w:val="E79A44A9"/>
    <w:rsid w:val="EEEA3C40"/>
    <w:rsid w:val="EF779C14"/>
    <w:rsid w:val="EFADF9A9"/>
    <w:rsid w:val="F5AE04DB"/>
    <w:rsid w:val="F5DF5DD4"/>
    <w:rsid w:val="F5FFCE2B"/>
    <w:rsid w:val="F6F71786"/>
    <w:rsid w:val="FADBA00C"/>
    <w:rsid w:val="FADF6A7D"/>
    <w:rsid w:val="FBBB5EFE"/>
    <w:rsid w:val="FD7CC992"/>
    <w:rsid w:val="FDEF8E10"/>
    <w:rsid w:val="FE37F29B"/>
    <w:rsid w:val="FEEF9FC5"/>
    <w:rsid w:val="FF5E451A"/>
    <w:rsid w:val="FF7B06FF"/>
    <w:rsid w:val="FFD951BE"/>
    <w:rsid w:val="FFDFB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64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spacing w:line="360" w:lineRule="auto"/>
      <w:ind w:firstLine="0" w:firstLineChars="0"/>
      <w:outlineLvl w:val="0"/>
    </w:pPr>
    <w:rPr>
      <w:rFonts w:eastAsia="Songti SC"/>
      <w:b/>
      <w:kern w:val="44"/>
    </w:rPr>
  </w:style>
  <w:style w:type="paragraph" w:styleId="4">
    <w:name w:val="heading 2"/>
    <w:basedOn w:val="1"/>
    <w:next w:val="1"/>
    <w:unhideWhenUsed/>
    <w:qFormat/>
    <w:uiPriority w:val="0"/>
    <w:pPr>
      <w:keepNext/>
      <w:keepLines/>
      <w:spacing w:line="360" w:lineRule="auto"/>
      <w:ind w:firstLine="641"/>
      <w:outlineLvl w:val="1"/>
    </w:pPr>
    <w:rPr>
      <w:rFonts w:ascii="DejaVu Sans" w:hAnsi="DejaVu Sans" w:eastAsia="Songti SC"/>
      <w:b/>
      <w:sz w:val="28"/>
    </w:rPr>
  </w:style>
  <w:style w:type="paragraph" w:styleId="5">
    <w:name w:val="heading 3"/>
    <w:basedOn w:val="1"/>
    <w:next w:val="1"/>
    <w:unhideWhenUsed/>
    <w:qFormat/>
    <w:uiPriority w:val="0"/>
    <w:pPr>
      <w:keepNext/>
      <w:keepLines/>
      <w:spacing w:line="360" w:lineRule="auto"/>
      <w:ind w:firstLine="641"/>
      <w:outlineLvl w:val="2"/>
    </w:pPr>
    <w:rPr>
      <w:b/>
      <w:bCs/>
      <w:szCs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annotation text"/>
    <w:basedOn w:val="1"/>
    <w:qFormat/>
    <w:uiPriority w:val="0"/>
  </w:style>
  <w:style w:type="paragraph" w:styleId="7">
    <w:name w:val="Body Text"/>
    <w:basedOn w:val="1"/>
    <w:qFormat/>
    <w:uiPriority w:val="0"/>
    <w:rPr>
      <w:rFonts w:ascii="宋体" w:hAnsi="宋体" w:eastAsia="宋体" w:cs="宋体"/>
      <w:szCs w:val="32"/>
    </w:rPr>
  </w:style>
  <w:style w:type="paragraph" w:styleId="8">
    <w:name w:val="Body Text Indent"/>
    <w:basedOn w:val="1"/>
    <w:qFormat/>
    <w:uiPriority w:val="0"/>
    <w:pPr>
      <w:spacing w:after="120"/>
      <w:ind w:left="420" w:leftChars="200"/>
    </w:pPr>
  </w:style>
  <w:style w:type="paragraph" w:styleId="9">
    <w:name w:val="toc 3"/>
    <w:basedOn w:val="1"/>
    <w:next w:val="1"/>
    <w:qFormat/>
    <w:uiPriority w:val="0"/>
    <w:pPr>
      <w:ind w:left="840" w:leftChars="400"/>
    </w:pPr>
  </w:style>
  <w:style w:type="paragraph" w:styleId="10">
    <w:name w:val="Body Text Indent 2"/>
    <w:basedOn w:val="1"/>
    <w:unhideWhenUsed/>
    <w:qFormat/>
    <w:uiPriority w:val="99"/>
    <w:pPr>
      <w:spacing w:after="120" w:line="480" w:lineRule="auto"/>
      <w:ind w:left="420" w:leftChars="200"/>
    </w:p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rFonts w:ascii="DejaVu Sans" w:hAnsi="DejaVu Sans"/>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rPr>
  </w:style>
  <w:style w:type="paragraph" w:styleId="16">
    <w:name w:val="Body Text First Indent 2"/>
    <w:basedOn w:val="8"/>
    <w:qFormat/>
    <w:uiPriority w:val="0"/>
    <w:pPr>
      <w:ind w:firstLine="420"/>
    </w:pPr>
  </w:style>
  <w:style w:type="character" w:styleId="19">
    <w:name w:val="annotation reference"/>
    <w:qFormat/>
    <w:uiPriority w:val="0"/>
    <w:rPr>
      <w:sz w:val="21"/>
      <w:szCs w:val="21"/>
    </w:rPr>
  </w:style>
  <w:style w:type="paragraph" w:customStyle="1" w:styleId="20">
    <w:name w:val="表格字体"/>
    <w:basedOn w:val="1"/>
    <w:qFormat/>
    <w:uiPriority w:val="0"/>
    <w:pPr>
      <w:spacing w:line="240" w:lineRule="auto"/>
      <w:ind w:firstLine="0" w:firstLineChars="0"/>
      <w:jc w:val="left"/>
    </w:pPr>
    <w:rPr>
      <w:rFonts w:eastAsia="宋体"/>
      <w:sz w:val="24"/>
      <w:szCs w:val="21"/>
    </w:rPr>
  </w:style>
  <w:style w:type="paragraph" w:customStyle="1" w:styleId="21">
    <w:name w:val="一级标题"/>
    <w:basedOn w:val="7"/>
    <w:qFormat/>
    <w:uiPriority w:val="0"/>
  </w:style>
  <w:style w:type="paragraph" w:customStyle="1" w:styleId="22">
    <w:name w:val="闻政正文"/>
    <w:basedOn w:val="1"/>
    <w:qFormat/>
    <w:uiPriority w:val="0"/>
    <w:pPr>
      <w:spacing w:line="500" w:lineRule="exact"/>
      <w:ind w:firstLine="560"/>
    </w:pPr>
    <w:rPr>
      <w:kern w:val="0"/>
      <w:sz w:val="28"/>
      <w:szCs w:val="28"/>
    </w:rPr>
  </w:style>
  <w:style w:type="paragraph" w:customStyle="1" w:styleId="23">
    <w:name w:val="闻政标题5"/>
    <w:basedOn w:val="1"/>
    <w:qFormat/>
    <w:uiPriority w:val="0"/>
    <w:pPr>
      <w:spacing w:before="120" w:after="60" w:line="500" w:lineRule="exact"/>
      <w:ind w:firstLine="200"/>
    </w:pPr>
    <w:rPr>
      <w:b/>
      <w:kern w:val="0"/>
      <w:sz w:val="28"/>
      <w:szCs w:val="28"/>
    </w:rPr>
  </w:style>
  <w:style w:type="paragraph" w:customStyle="1" w:styleId="24">
    <w:name w:val="闻政表"/>
    <w:basedOn w:val="1"/>
    <w:qFormat/>
    <w:uiPriority w:val="0"/>
    <w:pPr>
      <w:spacing w:before="60" w:after="60"/>
      <w:jc w:val="center"/>
    </w:pPr>
    <w:rPr>
      <w:b/>
      <w:kern w:val="0"/>
      <w:sz w:val="24"/>
      <w:szCs w:val="28"/>
    </w:rPr>
  </w:style>
  <w:style w:type="character" w:customStyle="1" w:styleId="25">
    <w:name w:val="font01"/>
    <w:basedOn w:val="18"/>
    <w:qFormat/>
    <w:uiPriority w:val="0"/>
    <w:rPr>
      <w:rFonts w:hint="default" w:ascii="MingLiU" w:hAnsi="MingLiU" w:eastAsia="MingLiU" w:cs="MingLiU"/>
      <w:color w:val="000000"/>
      <w:sz w:val="18"/>
      <w:szCs w:val="18"/>
      <w:u w:val="none"/>
    </w:rPr>
  </w:style>
  <w:style w:type="paragraph" w:customStyle="1" w:styleId="26">
    <w:name w:val="WA_标题4"/>
    <w:basedOn w:val="27"/>
    <w:next w:val="1"/>
    <w:qFormat/>
    <w:uiPriority w:val="0"/>
    <w:pPr>
      <w:numPr>
        <w:ilvl w:val="3"/>
      </w:numPr>
      <w:outlineLvl w:val="3"/>
    </w:pPr>
    <w:rPr>
      <w:sz w:val="24"/>
    </w:rPr>
  </w:style>
  <w:style w:type="paragraph" w:customStyle="1" w:styleId="27">
    <w:name w:val="WA_标题3"/>
    <w:basedOn w:val="28"/>
    <w:next w:val="1"/>
    <w:qFormat/>
    <w:uiPriority w:val="0"/>
    <w:pPr>
      <w:numPr>
        <w:ilvl w:val="2"/>
      </w:numPr>
      <w:outlineLvl w:val="2"/>
    </w:pPr>
    <w:rPr>
      <w:sz w:val="28"/>
    </w:rPr>
  </w:style>
  <w:style w:type="paragraph" w:customStyle="1" w:styleId="28">
    <w:name w:val="WA_标题2"/>
    <w:basedOn w:val="29"/>
    <w:next w:val="1"/>
    <w:qFormat/>
    <w:uiPriority w:val="0"/>
    <w:pPr>
      <w:numPr>
        <w:ilvl w:val="1"/>
      </w:numPr>
      <w:outlineLvl w:val="1"/>
    </w:pPr>
    <w:rPr>
      <w:sz w:val="32"/>
    </w:rPr>
  </w:style>
  <w:style w:type="paragraph" w:customStyle="1" w:styleId="29">
    <w:name w:val="WA_标题1"/>
    <w:basedOn w:val="3"/>
    <w:next w:val="1"/>
    <w:qFormat/>
    <w:uiPriority w:val="0"/>
    <w:pPr>
      <w:numPr>
        <w:ilvl w:val="0"/>
        <w:numId w:val="1"/>
      </w:numPr>
      <w:spacing w:before="120" w:after="120"/>
    </w:pPr>
    <w:rPr>
      <w:sz w:val="36"/>
    </w:rPr>
  </w:style>
  <w:style w:type="character" w:customStyle="1" w:styleId="30">
    <w:name w:val="font112"/>
    <w:basedOn w:val="18"/>
    <w:qFormat/>
    <w:uiPriority w:val="0"/>
    <w:rPr>
      <w:rFonts w:hint="default" w:ascii="MingLiU" w:hAnsi="MingLiU" w:eastAsia="MingLiU" w:cs="MingLiU"/>
      <w:b/>
      <w:color w:val="000000"/>
      <w:sz w:val="18"/>
      <w:szCs w:val="18"/>
      <w:u w:val="none"/>
    </w:rPr>
  </w:style>
  <w:style w:type="character" w:customStyle="1" w:styleId="31">
    <w:name w:val="font71"/>
    <w:basedOn w:val="18"/>
    <w:qFormat/>
    <w:uiPriority w:val="0"/>
    <w:rPr>
      <w:rFonts w:hint="default" w:ascii="MingLiU" w:hAnsi="MingLiU" w:eastAsia="MingLiU" w:cs="MingLiU"/>
      <w:color w:val="000000"/>
      <w:sz w:val="18"/>
      <w:szCs w:val="18"/>
      <w:u w:val="none"/>
    </w:rPr>
  </w:style>
  <w:style w:type="character" w:customStyle="1" w:styleId="32">
    <w:name w:val="font81"/>
    <w:basedOn w:val="18"/>
    <w:qFormat/>
    <w:uiPriority w:val="0"/>
    <w:rPr>
      <w:rFonts w:hint="eastAsia" w:ascii="方正书宋_GBK" w:hAnsi="方正书宋_GBK" w:eastAsia="方正书宋_GBK" w:cs="方正书宋_GBK"/>
      <w:color w:val="002060"/>
      <w:sz w:val="20"/>
      <w:szCs w:val="20"/>
      <w:u w:val="none"/>
    </w:rPr>
  </w:style>
  <w:style w:type="character" w:customStyle="1" w:styleId="33">
    <w:name w:val="font101"/>
    <w:basedOn w:val="18"/>
    <w:qFormat/>
    <w:uiPriority w:val="0"/>
    <w:rPr>
      <w:rFonts w:ascii="Arial" w:hAnsi="Arial" w:cs="Arial"/>
      <w:color w:val="002060"/>
      <w:sz w:val="20"/>
      <w:szCs w:val="20"/>
      <w:u w:val="none"/>
    </w:rPr>
  </w:style>
  <w:style w:type="character" w:customStyle="1" w:styleId="34">
    <w:name w:val="font11"/>
    <w:basedOn w:val="18"/>
    <w:qFormat/>
    <w:uiPriority w:val="0"/>
    <w:rPr>
      <w:rFonts w:ascii="Courier New" w:hAnsi="Courier New" w:cs="Courier New"/>
      <w:color w:val="000000"/>
      <w:sz w:val="18"/>
      <w:szCs w:val="18"/>
      <w:u w:val="none"/>
    </w:rPr>
  </w:style>
  <w:style w:type="character" w:customStyle="1" w:styleId="35">
    <w:name w:val="font31"/>
    <w:basedOn w:val="18"/>
    <w:qFormat/>
    <w:uiPriority w:val="0"/>
    <w:rPr>
      <w:rFonts w:ascii="宋体" w:hAnsi="宋体" w:eastAsia="宋体" w:cs="宋体"/>
      <w:color w:val="000000"/>
      <w:sz w:val="18"/>
      <w:szCs w:val="18"/>
      <w:u w:val="none"/>
    </w:rPr>
  </w:style>
  <w:style w:type="character" w:customStyle="1" w:styleId="36">
    <w:name w:val="bjh-p"/>
    <w:basedOn w:val="18"/>
    <w:qFormat/>
    <w:uiPriority w:val="0"/>
  </w:style>
  <w:style w:type="character" w:customStyle="1" w:styleId="37">
    <w:name w:val="font41"/>
    <w:basedOn w:val="18"/>
    <w:qFormat/>
    <w:uiPriority w:val="0"/>
    <w:rPr>
      <w:rFonts w:hint="eastAsia" w:ascii="仿宋_GB2312" w:eastAsia="仿宋_GB2312" w:cs="仿宋_GB2312"/>
      <w:color w:val="000000"/>
      <w:sz w:val="22"/>
      <w:szCs w:val="22"/>
      <w:u w:val="none"/>
    </w:rPr>
  </w:style>
  <w:style w:type="character" w:customStyle="1" w:styleId="38">
    <w:name w:val="font61"/>
    <w:basedOn w:val="18"/>
    <w:qFormat/>
    <w:uiPriority w:val="0"/>
    <w:rPr>
      <w:rFonts w:hint="default" w:ascii="Times New Roman" w:hAnsi="Times New Roman" w:cs="Times New Roman"/>
      <w:color w:val="000000"/>
      <w:sz w:val="22"/>
      <w:szCs w:val="22"/>
      <w:u w:val="none"/>
    </w:rPr>
  </w:style>
  <w:style w:type="character" w:customStyle="1" w:styleId="39">
    <w:name w:val="font51"/>
    <w:basedOn w:val="18"/>
    <w:qFormat/>
    <w:uiPriority w:val="0"/>
    <w:rPr>
      <w:rFonts w:hint="eastAsia" w:ascii="宋体" w:hAnsi="宋体" w:eastAsia="宋体" w:cs="宋体"/>
      <w:b/>
      <w:bCs/>
      <w:color w:val="000000"/>
      <w:sz w:val="20"/>
      <w:szCs w:val="20"/>
      <w:u w:val="none"/>
    </w:rPr>
  </w:style>
  <w:style w:type="table" w:customStyle="1" w:styleId="40">
    <w:name w:val="Table Normal"/>
    <w:semiHidden/>
    <w:unhideWhenUsed/>
    <w:qFormat/>
    <w:uiPriority w:val="0"/>
    <w:tblPr>
      <w:tblCellMar>
        <w:top w:w="0" w:type="dxa"/>
        <w:left w:w="0" w:type="dxa"/>
        <w:bottom w:w="0" w:type="dxa"/>
        <w:right w:w="0" w:type="dxa"/>
      </w:tblCellMar>
    </w:tblPr>
  </w:style>
  <w:style w:type="character" w:customStyle="1" w:styleId="41">
    <w:name w:val="font21"/>
    <w:basedOn w:val="1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44</Pages>
  <Words>28437</Words>
  <Characters>32000</Characters>
  <Lines>90</Lines>
  <Paragraphs>25</Paragraphs>
  <TotalTime>17</TotalTime>
  <ScaleCrop>false</ScaleCrop>
  <LinksUpToDate>false</LinksUpToDate>
  <CharactersWithSpaces>32992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2021-06-28T17:04:00Z</dcterms:created>
  <dc:creator>Administrator</dc:creator>
  <cp:lastModifiedBy>占月</cp:lastModifiedBy>
  <dcterms:modified xsi:type="dcterms:W3CDTF">2024-05-13T10:25:35Z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B59EA84A6DF443E59C358469BE41B00F_13</vt:lpwstr>
  </property>
</Properties>
</file>