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0" w:after="10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 w:bidi="ar"/>
        </w:rPr>
        <w:t>G98环岛高速公路洋浦互通工程</w:t>
      </w:r>
    </w:p>
    <w:p>
      <w:pPr>
        <w:spacing w:before="100" w:beforeAutospacing="0" w:after="10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 w:bidi="ar"/>
        </w:rPr>
        <w:t>绩效自评报告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2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G98环岛高速公路洋浦互通立交改造工程可行性研究报告的函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(琼发改审批函[2022]927号)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G98环岛高速公路洋浦互通立交改造工程初步设计及概算的函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(琼发改审批函[2023]418号)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G98环岛高速公路洋浦互通立交改造工程施工图设计的批复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(琼交运审批[2023]12号)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本项目对省道S308美洋线那大至洋浦互通段进行改造，改造里程全长24.21公里，按双向四车道一级公路改造，设计速度80公里/小时，路基宽度24.5米，采用沥青混凝土路面。项目总投资29165万元，建设工期24个月。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勘察设计单位：天津市政工程设计研究总院有限公司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监理单位：河北浩洋工程咨询有限公司&amp;内蒙古交通建设监理咨询（集团）有限公司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施工单位：中交一公局厦门工程有限公司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2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highlight w:val="none"/>
        </w:rPr>
        <w:t>2.G98环岛高速公路洋浦互通工程项目绩效指标设定如下：</w:t>
      </w:r>
    </w:p>
    <w:tbl>
      <w:tblPr>
        <w:tblStyle w:val="2"/>
        <w:tblpPr w:leftFromText="180" w:rightFromText="180" w:vertAnchor="text" w:horzAnchor="page" w:tblpX="1707" w:tblpY="200"/>
        <w:tblOverlap w:val="never"/>
        <w:tblW w:w="861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时效指标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前期文件编制至审批完成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cs="仿宋_GB2312"/>
                <w:kern w:val="0"/>
                <w:sz w:val="32"/>
                <w:szCs w:val="32"/>
                <w:highlight w:val="none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>6月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>满足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</w:rPr>
              <w:t>符合</w:t>
            </w:r>
          </w:p>
        </w:tc>
      </w:tr>
    </w:tbl>
    <w:p>
      <w:pPr>
        <w:spacing w:line="560" w:lineRule="exact"/>
        <w:ind w:firstLine="0" w:firstLineChars="0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numPr>
          <w:ilvl w:val="0"/>
          <w:numId w:val="1"/>
        </w:numPr>
        <w:spacing w:before="100" w:beforeAutospacing="0" w:after="100" w:afterAutospacing="0" w:line="560" w:lineRule="exact"/>
        <w:ind w:firstLine="640" w:firstLine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G98环岛高速公路洋浦互通立交改造工程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资金4900万元，资金到位率100%。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截至2023年12月31日，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G98环岛高速公路洋浦互通立交改造工程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专项债资金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4900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资金使用率100%。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（1）时效指标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前期文件编制至审批完成</w:t>
      </w:r>
      <w:r>
        <w:rPr>
          <w:rFonts w:hint="eastAsia" w:cs="仿宋_GB2312"/>
          <w:kern w:val="0"/>
          <w:sz w:val="32"/>
          <w:szCs w:val="32"/>
          <w:highlight w:val="none"/>
          <w:lang w:val="en-US" w:eastAsia="zh-CN"/>
        </w:rPr>
        <w:t>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6月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各前期文件均满足要求，2022年7月，省交建局上报工可</w:t>
      </w:r>
      <w:r>
        <w:rPr>
          <w:rFonts w:hint="eastAsia" w:cs="仿宋_GB2312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2022年11月22日，省发改委批复工可；2023年4月，海南交投上报初步设计，2023年6月7日，省发改委批复初步设计，2023年7月，海南交投上报施工图设计，2023年8月4日，省交通厅批复施工图设计。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</w:t>
      </w:r>
      <w:r>
        <w:rPr>
          <w:rFonts w:hint="eastAsia" w:cs="仿宋_GB2312"/>
          <w:kern w:val="0"/>
          <w:sz w:val="32"/>
          <w:szCs w:val="32"/>
          <w:lang w:eastAsia="zh-CN"/>
        </w:rPr>
        <w:t>社会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效益指标：基本公共服务水平提升，实际完成值提升。洋浦互通主要通过 G98西线高速实现儋州市区及那大镇、洋浦开发区与北向海口市、南向三亚市的交通转换，同时服务于洋浦工业开发区至儋州市之间沿线的木棠镇、西联农场、东成镇等村镇居民出行，本次拟对既有洋浦互通进行改建，建成完整的枢纽互通式立交，以提高其服务水平和通行能力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（3）经济成本指标：项目支出符合概算批复的标准，项目的资金支出严格按照国家相关规定执行，做到项目专款专用。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DF04"/>
    <w:multiLevelType w:val="singleLevel"/>
    <w:tmpl w:val="F7FEDF0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04FE3CBD"/>
    <w:rsid w:val="089B3291"/>
    <w:rsid w:val="14DB4F49"/>
    <w:rsid w:val="21A060A3"/>
    <w:rsid w:val="31053428"/>
    <w:rsid w:val="494C26D0"/>
    <w:rsid w:val="5CCB3470"/>
    <w:rsid w:val="6EF36A95"/>
    <w:rsid w:val="6F7D011A"/>
    <w:rsid w:val="710010F4"/>
    <w:rsid w:val="71F1067C"/>
    <w:rsid w:val="7492586A"/>
    <w:rsid w:val="77FF18C4"/>
    <w:rsid w:val="FFEFE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2024-04-20T07:27:00Z</dcterms:created>
  <dc:creator>高成就学</dc:creator>
  <cp:lastModifiedBy>占月</cp:lastModifiedBy>
  <dcterms:modified xsi:type="dcterms:W3CDTF">2024-04-24T18:41:48Z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145338EFCE68474087AE96EDDB1F85AA_13</vt:lpwstr>
  </property>
</Properties>
</file>