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G98环岛高速公路仙沟互通立交改造工程绩效自评报告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G98环岛高速公路仙沟互通立交改造工程可行性研究报告的函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(琼发改审批函[2023]199号)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G98环岛高速公路仙沟互通立交改造工程初步设计及概算的函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(琼发改审批函[2023]417号)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G98环岛高速公路仙沟互通立交改造工程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(琼交运审批[2023]17号)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G98环岛高速公路仙沟互通立交改造为全苜蓿叶形立交方案。主线改造长2024m，设计速度120公里/小时，双向八车道，高速公路；被交道改造长1096m，双向六车道，城市主干路,设计速度40km/h。项目总投资44766万元，建设工期24个月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中交公路规划设计院有限公司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海南中交高速公路投资建设有限公司&amp;中咨公路工程监理咨询有限公司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 w:bidi="ar"/>
        </w:rPr>
        <w:t>中交一公局厦门工程有限公司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98环岛高速公路仙沟互通立交改造工程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1559"/>
        <w:gridCol w:w="1985"/>
        <w:gridCol w:w="2313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2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57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前期工作完成数量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≥3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5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按照监理/中试抽检整体合格率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批复预算金额占批复概算金额比例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≤100%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91%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2023年度G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98环岛高速公路仙沟互通立交改造工程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资金2000万元，资金到位率100%。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截至2023年12月31日，G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98环岛高速公路仙沟互通立交改造工程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专项债资金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2000万元，资金使用率100%。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（1）数量指标：前期工作完成数量≥3，实际完成值3，项目工可批复、初步设计批复、施工图批复均已完成。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（2）质量指标：按照监理/中试抽检整体合格率≥90%，实际完成值100%，截止2023年年底，本项目实际抽检2次，合格2次，合格率100%（项目于年底实际性动工）。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（3）经济成本指标：批复预算金额占批复概算金额比例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≤100%，实际完成值91%。批复概算金额为44766万元，批复预算金额为40713万元，占概算金额40713亿元的91%。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社会效益指标：基本公共服务水平提升，实际完成值提升。随着近年定安经济及第三产业的发展，仙沟互通立交现状已无法满足日益增长的交通量需求，严重制约地方经济的发展。因此，急需对其进行改造，以提高服务水平，助力定安全面融入海口经济圈，本项目建设能进一步提高仙沟互通的交通承载能力，进一步提升交通基础设施服务水平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14DB4F49"/>
    <w:rsid w:val="31053428"/>
    <w:rsid w:val="494C26D0"/>
    <w:rsid w:val="5CCB3470"/>
    <w:rsid w:val="6EF36A95"/>
    <w:rsid w:val="710010F4"/>
    <w:rsid w:val="71F1067C"/>
    <w:rsid w:val="7492586A"/>
    <w:rsid w:val="7F92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2024-04-19T07:27:00Z</dcterms:created>
  <dc:creator>高成就学</dc:creator>
  <cp:lastModifiedBy>林燕芬</cp:lastModifiedBy>
  <dcterms:modified xsi:type="dcterms:W3CDTF">2024-04-23T09:16:20Z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1969676CFE61471B8653D0A3885E1716_13</vt:lpwstr>
  </property>
</Properties>
</file>